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7CC0A" w14:textId="77777777" w:rsidR="003B5820" w:rsidRDefault="003B5820" w:rsidP="003B5820">
      <w:pPr>
        <w:rPr>
          <w:b/>
          <w:bCs/>
        </w:rPr>
      </w:pPr>
    </w:p>
    <w:p w14:paraId="4A8B58A0" w14:textId="77777777" w:rsidR="003B5820" w:rsidRPr="000118D4" w:rsidRDefault="003B5820" w:rsidP="003B5820">
      <w:pPr>
        <w:rPr>
          <w:b/>
          <w:bCs/>
        </w:rPr>
      </w:pPr>
      <w:r w:rsidRPr="000118D4">
        <w:rPr>
          <w:b/>
          <w:bCs/>
        </w:rPr>
        <w:t>Only Need and Desire Can Make a Flimsy Tissue of Lies Opaque</w:t>
      </w:r>
    </w:p>
    <w:p w14:paraId="5ED3C66B" w14:textId="77777777" w:rsidR="003B5820" w:rsidRDefault="003B5820" w:rsidP="003B5820"/>
    <w:p w14:paraId="7D6FDDF8" w14:textId="77777777" w:rsidR="003B5820" w:rsidRDefault="003B5820" w:rsidP="003B5820">
      <w:r>
        <w:t xml:space="preserve">It is 1 December 1950 at the United Nation’s (UN) Ad Hoc Political Committee, and the agenda item is Palestinian refugees.  The Pakistani delegate is </w:t>
      </w:r>
      <w:proofErr w:type="gramStart"/>
      <w:r>
        <w:t>referring back</w:t>
      </w:r>
      <w:proofErr w:type="gramEnd"/>
      <w:r>
        <w:t xml:space="preserve"> to the UN General Assembly’s (UNGA) recommendation for partition of Palestine in resolution 181 of November 1947.  He continues: “</w:t>
      </w:r>
      <w:r w:rsidRPr="009B32D1">
        <w:t>But was there a single instance in history where the representatives of the civilized world meeting together in an international organization had decided to hand over a territory to foreigners to the detriment of the lawful inhabitants?</w:t>
      </w:r>
      <w:r>
        <w:t>”</w:t>
      </w:r>
      <w:r>
        <w:rPr>
          <w:rStyle w:val="EndnoteReference"/>
        </w:rPr>
        <w:endnoteReference w:id="1"/>
      </w:r>
      <w:r>
        <w:t xml:space="preserve">  A most interesting question, and here, probably, is what happened next:  some bored wag in the back tentatively calls out “Westphalia, 1648?”  This gets a good chuckle from the crowd, all of them diplomats who know their history.  Someone else responds with “Congress of Vienna, 1815!”  This brings the gathering closer to the present, which makes it more interesting.  There are few independent African states at the UN in 1950, but certainly one of them, if not all of them, calls out “Berlin, 1884!”  It will be called out many times, each one angrier than this time.  By now, the East and Central Europeans are bursting to cry out “Potsdam!  Potsdam!” Perhaps they will add in Yalta and Tehran occasionally, but all this is a very bad idea with the Soviets, their masters, in the room.  Substitution, however, is never a problem: the Polish delegate has partitions to choose from and settles on “Vienna, 1772.”  Vienna, like Paris, comes up a lot, so dates are helpful.  The Hungarians have been calling out “Trianon!” for a while now, and there seems to be a lot of spitting on the floor when they do.  After all, the Romanian state was certainly foreign to Transylvania before the treaty came into force.  No one knows what a lawful inhabitant is, but they can all use it as they want to.  In a world of sovereign states, any non-voluntary transfer of territory will </w:t>
      </w:r>
      <w:proofErr w:type="gramStart"/>
      <w:r>
        <w:t>by definition benefit</w:t>
      </w:r>
      <w:proofErr w:type="gramEnd"/>
      <w:r>
        <w:t xml:space="preserve"> foreigners. </w:t>
      </w:r>
    </w:p>
    <w:p w14:paraId="47A370E6" w14:textId="77777777" w:rsidR="003B5820" w:rsidRDefault="003B5820" w:rsidP="003B5820">
      <w:r>
        <w:t xml:space="preserve">Soon, it is a torrent and humor </w:t>
      </w:r>
      <w:proofErr w:type="gramStart"/>
      <w:r>
        <w:t>is</w:t>
      </w:r>
      <w:proofErr w:type="gramEnd"/>
      <w:r>
        <w:t xml:space="preserve"> mixed with humiliation and grievance, spiced, perhaps, with the joy of trivia; when someone calls out “Tordesillas!”  there is a lull while people rack their brains to remember what it gave to whom and who was abused.  The Bolivians sense that few will know what “Buenos Aires, 1938” might mean, so they call out “Chaco!” instead.  The Turkish delegate, as the successor to the Ottoman state, has an embarrassment of riches to choose from, all signed while the Empire was whittled down.  The Chinese alternate “</w:t>
      </w:r>
      <w:proofErr w:type="spellStart"/>
      <w:r>
        <w:t>Manchuko</w:t>
      </w:r>
      <w:proofErr w:type="spellEnd"/>
      <w:r>
        <w:t xml:space="preserve">” with “Nanking 1842!” while the Mexicans cry “Guadalupe Hidalgo;” it is a mouthful to say but was always too much to swallow.   The Soviets call “Brest-Litovsk” again and again, banging the table.  The many actors of the various Balkan wars have a list of treaties to choose from.  All the bits of Paris 1919 are hauled out by all the wronged.  The League of Nations wasn’t yet formed when Paris was signed, but it was given the task of guaranteeing the territorial settlement, so those treaties do fit.  Of course, parallels in history are never perfect; some of these treaties are simply bi-lateral, and so aren’t a proper answer to the question.  Still, the feeling of injury overwhelms any sense that they must be careful about proper parallels; it all comes out.  </w:t>
      </w:r>
    </w:p>
    <w:p w14:paraId="642F007E" w14:textId="77777777" w:rsidR="003B5820" w:rsidRDefault="003B5820" w:rsidP="003B5820">
      <w:r>
        <w:lastRenderedPageBreak/>
        <w:t xml:space="preserve">After a while, it becomes clear that there is an upswell of one name.  Most of the people in the room participated somehow in the most recent war and plenty were scarred by it; it is no wonder that so many are calling out “Munich!” and don’t bother with a date.  This is embarrassing to the British and French, but even they take up the call; they understand that the image of smiling Chamberlin with his damn hat and umbrella getting off the plane is too powerful to suppress.  It is the chasm between the promise and the results that gives it its energy.  Munich is also a stand-in for unmentionable Potsdam, which is the best fit possible; the more immediate the treaties are, the rawer the wound.  Potsdam is shorthand for the lives now lived; Munich is for the lives lost.  </w:t>
      </w:r>
    </w:p>
    <w:p w14:paraId="7A32D2E9" w14:textId="77777777" w:rsidR="003B5820" w:rsidRDefault="003B5820" w:rsidP="003B5820">
      <w:r>
        <w:t>It was hoped that Munich would be a triumph of quick, preemptive diplomacy, but even then, it was understood as a tale of willful blindness.</w:t>
      </w:r>
      <w:r>
        <w:rPr>
          <w:rStyle w:val="EndnoteReference"/>
        </w:rPr>
        <w:endnoteReference w:id="2"/>
      </w:r>
      <w:r>
        <w:t xml:space="preserve">  People so wanted to believe in its success, that they had bought peace at little cost (to themselves), but now all saw that it was the briefest moment of indulgent fantasy and the costs extravagant.  Whoever could afford that again?  Clear-eyed, hard-headed rationality, </w:t>
      </w:r>
      <w:r>
        <w:rPr>
          <w:i/>
          <w:iCs/>
        </w:rPr>
        <w:t xml:space="preserve">realpolitik, </w:t>
      </w:r>
      <w:r>
        <w:t xml:space="preserve">is the order of the day, as friends can quickly turn into foes. States must see it coming and prepare for it.  The states all affirm this by calling out when they were abused; they won’t forget, they remember the bitterness and learned the lessons of history.  They all teach the history in school; children know the conflicts, enemies, and betrayals; they learn watchful preparation and fear along with love for the nation.  </w:t>
      </w:r>
    </w:p>
    <w:p w14:paraId="0AD23F7D" w14:textId="77777777" w:rsidR="003B5820" w:rsidRDefault="003B5820" w:rsidP="003B5820">
      <w:r>
        <w:t xml:space="preserve">The Pakistani delegate didn’t see this coming: a rhetorical question is a device, not a call to angry participation.  Perhaps, in declaring a common experience somehow unique and so negating the experience of all others, he overstepped.   The only thing to do is to let the fire run its course and, when it has died down, resume.  Also not make that mistake again.  There is little that is new under the sun, and less still that is unique; suffering is wide-spread, and people are touchy about someone marking theirs down.  </w:t>
      </w:r>
    </w:p>
    <w:p w14:paraId="3EDA6837" w14:textId="77777777" w:rsidR="003B5820" w:rsidRDefault="003B5820" w:rsidP="003B5820">
      <w:r>
        <w:t xml:space="preserve">This makes a great scene, and perhaps, on some other day or different agenda item, it happened.  Here is what </w:t>
      </w:r>
      <w:proofErr w:type="gramStart"/>
      <w:r>
        <w:t>actually happened</w:t>
      </w:r>
      <w:proofErr w:type="gramEnd"/>
      <w:r>
        <w:t xml:space="preserve">: nothing.  No one responded at all, not at the time and not in the many hours of discussions that followed.  Delegates accepted that something common to all had been fenced off for just one actor.  There wasn’t any remembrance or anger or claim to the nasty feeling of getting screwed; everyone was comfortable with that.  </w:t>
      </w:r>
    </w:p>
    <w:p w14:paraId="5BDCDC99" w14:textId="77777777" w:rsidR="003B5820" w:rsidRDefault="003B5820" w:rsidP="003B5820">
      <w:r>
        <w:t xml:space="preserve">Of course, in most cases, states can be expected to defend their right to claim and maintain their grievances.  These are just some of the stories that form a nation; nations do love to bask in the warm glow of their victories, excellence, and heroes, but losses and humiliations are no less nation-forming.  Nor are they less energizing when the population needs to be rallied to </w:t>
      </w:r>
      <w:proofErr w:type="gramStart"/>
      <w:r>
        <w:t>the  cause</w:t>
      </w:r>
      <w:proofErr w:type="gramEnd"/>
      <w:r>
        <w:t xml:space="preserve">; if anything, they are more so.  Stories are a glue and energy that holds a nation together; they can come from facts, they can come from fuzzy myths, and sometimes, the myths are spun out of lies, or perhaps just distortions.   Properly, a historian’s job is to tease the truth out of the myths and lies, but that is why historians are often ignored; we like the stories we know.  Think of how long we taught our </w:t>
      </w:r>
      <w:r>
        <w:lastRenderedPageBreak/>
        <w:t>children about George Washington and the cherry tree; there was no truth to it, but what an excellent story it was.  The lines between truth, stories, lies, exaggerations and all the rest are fuzzy at best, and most often, we prefer it that way.</w:t>
      </w:r>
    </w:p>
    <w:p w14:paraId="4307B286" w14:textId="77777777" w:rsidR="003B5820" w:rsidRDefault="003B5820" w:rsidP="003B5820">
      <w:r>
        <w:t xml:space="preserve"> Lots of people make their living off that ambiguity and their ability to spin a good, realistic yarn.  Historical novelists, politicians, teachers, psychologists, wine journalists and so many </w:t>
      </w:r>
      <w:proofErr w:type="gramStart"/>
      <w:r>
        <w:t>others  occasionally</w:t>
      </w:r>
      <w:proofErr w:type="gramEnd"/>
      <w:r>
        <w:t xml:space="preserve"> play fast and loose as need be.  The ends justify the means.  Con artists are at the farther end of the continuum, but they have to sound </w:t>
      </w:r>
      <w:proofErr w:type="gramStart"/>
      <w:r>
        <w:t>plausible</w:t>
      </w:r>
      <w:proofErr w:type="gramEnd"/>
      <w:r>
        <w:t xml:space="preserve"> or they wouldn’t ever get our confidence- that is the art part.  They must know which stories we hold particularly strongly, the ones that can safely be played on and with.  The core stories can take more abuse and manipulation because we need them more; it is our most cherished tales that can take us to the cleaners.  </w:t>
      </w:r>
    </w:p>
    <w:p w14:paraId="19588976" w14:textId="77777777" w:rsidR="003B5820" w:rsidRDefault="003B5820" w:rsidP="003B5820">
      <w:r>
        <w:t>It isn’t just lonely people in rural settings that can be rooked by a flim-flam man who knows how to play their heartstrings.  Plenty of well-educated, smart urbanites get snookered all the time, and not just people: institutions have stories and can fall for a line.  Even states can be led down the garden path, though institutions and states must be led there through the people that act as their agents.</w:t>
      </w:r>
      <w:r>
        <w:rPr>
          <w:rStyle w:val="EndnoteReference"/>
        </w:rPr>
        <w:endnoteReference w:id="3"/>
      </w:r>
      <w:r>
        <w:t xml:space="preserve">  The post-World War II (WWII) world, with rapidly changing conditions and the difficulty of finding stories to match, was just such a time.  At the United Nations, states proclaimed their aims and told stories to each other to convince both other states and their own citizenry.  This paper will investigate one set of meetings, the Ad Hoc Political Committee (AHPC) from 1950 to 1955 on an agenda item relating to Palestinian refugees to see how closely it tracks to the relationship of the con artist and his mark.  </w:t>
      </w:r>
      <w:r w:rsidRPr="00B90C9B">
        <w:t xml:space="preserve">This is a complex </w:t>
      </w:r>
      <w:proofErr w:type="gramStart"/>
      <w:r w:rsidRPr="00B90C9B">
        <w:t>relationship</w:t>
      </w:r>
      <w:proofErr w:type="gramEnd"/>
      <w:r w:rsidRPr="00B90C9B">
        <w:t xml:space="preserve"> and the meetings show most of the hallmarks.  At the core of the </w:t>
      </w:r>
      <w:r>
        <w:t>con artist</w:t>
      </w:r>
      <w:r w:rsidRPr="00B90C9B">
        <w:t xml:space="preserve">’s patter, always, are lies; this is the essence of the scam, and the scam is always tailored to the needs of the mark.  So long as the mark doesn’t challenge the stories told by the </w:t>
      </w:r>
      <w:r>
        <w:t>con artist</w:t>
      </w:r>
      <w:r w:rsidRPr="00B90C9B">
        <w:t xml:space="preserve">, they stand as though true.  The </w:t>
      </w:r>
      <w:r>
        <w:t>con artist</w:t>
      </w:r>
      <w:r w:rsidRPr="00B90C9B">
        <w:t xml:space="preserve"> must manipulate and guide the mark so that the </w:t>
      </w:r>
      <w:r>
        <w:t>sucker</w:t>
      </w:r>
      <w:r w:rsidRPr="00B90C9B">
        <w:t xml:space="preserve"> doesn’t notice the lies and protest them.  While the </w:t>
      </w:r>
      <w:r>
        <w:t>rube</w:t>
      </w:r>
      <w:r w:rsidRPr="00B90C9B">
        <w:t xml:space="preserve"> is being scammed, the </w:t>
      </w:r>
      <w:r>
        <w:t>con artist</w:t>
      </w:r>
      <w:r w:rsidRPr="00B90C9B">
        <w:t xml:space="preserve"> </w:t>
      </w:r>
      <w:proofErr w:type="gramStart"/>
      <w:r w:rsidRPr="00B90C9B">
        <w:t>has to</w:t>
      </w:r>
      <w:proofErr w:type="gramEnd"/>
      <w:r w:rsidRPr="00B90C9B">
        <w:t xml:space="preserve"> be careful to offer </w:t>
      </w:r>
      <w:r>
        <w:t>them</w:t>
      </w:r>
      <w:r w:rsidRPr="00B90C9B">
        <w:t xml:space="preserve"> </w:t>
      </w:r>
      <w:r>
        <w:t>something</w:t>
      </w:r>
      <w:r w:rsidRPr="00B90C9B">
        <w:t xml:space="preserve"> they need,</w:t>
      </w:r>
      <w:r>
        <w:t xml:space="preserve"> or at least its promise,</w:t>
      </w:r>
      <w:r w:rsidRPr="00B90C9B">
        <w:t xml:space="preserve"> so the relationship looks like a fair trade.  The list of scams is as long as the needs and dreams of the </w:t>
      </w:r>
      <w:r>
        <w:t>patsy</w:t>
      </w:r>
      <w:r w:rsidRPr="00B90C9B">
        <w:t xml:space="preserve">, and that is a long list.  The states </w:t>
      </w:r>
      <w:r>
        <w:t>that claim to want</w:t>
      </w:r>
      <w:r w:rsidRPr="00B90C9B">
        <w:t xml:space="preserve"> to settle the Palestinian ref</w:t>
      </w:r>
      <w:r>
        <w:t>ugees</w:t>
      </w:r>
      <w:r w:rsidRPr="00B90C9B">
        <w:t xml:space="preserve"> accept a long string of lies from the states seeking to ensure that the conflict continue</w:t>
      </w:r>
      <w:r>
        <w:t>s</w:t>
      </w:r>
      <w:r w:rsidRPr="00B90C9B">
        <w:t>, and all of those lies served the</w:t>
      </w:r>
      <w:r>
        <w:t>ir</w:t>
      </w:r>
      <w:r w:rsidRPr="00B90C9B">
        <w:t xml:space="preserve"> needs</w:t>
      </w:r>
      <w:r>
        <w:t>.</w:t>
      </w:r>
      <w:r w:rsidRPr="00B90C9B">
        <w:t xml:space="preserve">  Thus, the s</w:t>
      </w:r>
      <w:r>
        <w:t>ide</w:t>
      </w:r>
      <w:r w:rsidRPr="00B90C9B">
        <w:t xml:space="preserve"> who went into the situation thinking that they could settle the issue were brought over and accepted that the conflict must continue when offered stories</w:t>
      </w:r>
      <w:r>
        <w:t xml:space="preserve"> and</w:t>
      </w:r>
      <w:r w:rsidRPr="00B90C9B">
        <w:t xml:space="preserve"> lies that fulfilled their needs.  </w:t>
      </w:r>
    </w:p>
    <w:p w14:paraId="749E31FB" w14:textId="77777777" w:rsidR="003B5820" w:rsidRDefault="003B5820" w:rsidP="003B5820">
      <w:pPr>
        <w:rPr>
          <w:b/>
          <w:bCs/>
        </w:rPr>
      </w:pPr>
      <w:r>
        <w:rPr>
          <w:b/>
          <w:bCs/>
        </w:rPr>
        <w:t>Who is that smooth, fast talker?</w:t>
      </w:r>
    </w:p>
    <w:p w14:paraId="73F05A46" w14:textId="77777777" w:rsidR="003B5820" w:rsidRDefault="003B5820" w:rsidP="003B5820">
      <w:r w:rsidRPr="00264D69">
        <w:t xml:space="preserve">It is hard to </w:t>
      </w:r>
      <w:r>
        <w:t>know</w:t>
      </w:r>
      <w:r w:rsidRPr="00264D69">
        <w:t xml:space="preserve"> just </w:t>
      </w:r>
      <w:r>
        <w:t xml:space="preserve">how that era understood the con artist; there isn’t a lot of literature on them.  It would have been nice if it was investigated by social psychology at the time, and it is possible to extrapolate from what principles they did have, but it wasn’t a subject of study.  Social psychology at the time was still a young field, and most of its research was being done in controlled, laboratory situations.  Imagine lots of undergraduates filling out </w:t>
      </w:r>
      <w:r>
        <w:lastRenderedPageBreak/>
        <w:t>questionnaires in a classroom and then a great deal of statistics to try to come to solid conclusions.  The subject matter being investigated was certainly germane to our question; the researchers wanted to understand influence, suggestion, susceptibility, belief, and what causes people to follow leaders.</w:t>
      </w:r>
      <w:r>
        <w:rPr>
          <w:rStyle w:val="EndnoteReference"/>
        </w:rPr>
        <w:endnoteReference w:id="4"/>
      </w:r>
      <w:r>
        <w:t xml:space="preserve">  All of this is key to the con artist, but doesn’t get at the key aspect, which is the relationship.  The con artist wants to be your friend, perhaps your lover; they want you to listen to them, follow them, and, probably, give them your money.   The key to remember is that the art is in using confidences that run both ways; each one believes in the confidence of the other, and that confidence is an expression of trust.</w:t>
      </w:r>
      <w:r>
        <w:rPr>
          <w:rStyle w:val="EndnoteReference"/>
        </w:rPr>
        <w:endnoteReference w:id="5"/>
      </w:r>
      <w:r>
        <w:t xml:space="preserve">  To manipulate him, the con artist must understand his mark.  If there isn’t a lot in the academic literature, we can turn to a memoir by someone who worked various grifts for some 30 years and then got out.  He must have seen selling his story to be one last way to use his skills to support himself, and it makes a good read.</w:t>
      </w:r>
      <w:r>
        <w:rPr>
          <w:rStyle w:val="EndnoteReference"/>
        </w:rPr>
        <w:endnoteReference w:id="6"/>
      </w:r>
    </w:p>
    <w:p w14:paraId="66C42571" w14:textId="77777777" w:rsidR="003B5820" w:rsidRDefault="003B5820" w:rsidP="003B5820">
      <w:r>
        <w:t>Where there is a con artist, there must also be a mark, a sucker, for him to ply his trade on.  The mark has their own constellation of traits: they must be needy, a bit greedy,</w:t>
      </w:r>
      <w:r>
        <w:rPr>
          <w:rStyle w:val="EndnoteReference"/>
        </w:rPr>
        <w:endnoteReference w:id="7"/>
      </w:r>
      <w:r>
        <w:t xml:space="preserve"> but also possessed of a certain confidence and belief in themselves, probably unearned, that allows them to take a risk.  Because the sucker has already accepted the </w:t>
      </w:r>
      <w:proofErr w:type="gramStart"/>
      <w:r>
        <w:t>lies</w:t>
      </w:r>
      <w:proofErr w:type="gramEnd"/>
      <w:r>
        <w:t xml:space="preserve"> he tells himself about himself, he is liable to fall for other peoples’ </w:t>
      </w:r>
      <w:proofErr w:type="spellStart"/>
      <w:r>
        <w:t>lies</w:t>
      </w:r>
      <w:proofErr w:type="spellEnd"/>
      <w:r>
        <w:t xml:space="preserve"> that bolster his own.  If only he would admit he is a sucker, he would be immune to the siren call of the con artist.</w:t>
      </w:r>
      <w:r>
        <w:rPr>
          <w:rStyle w:val="EndnoteReference"/>
        </w:rPr>
        <w:endnoteReference w:id="8"/>
      </w:r>
      <w:r>
        <w:t xml:space="preserve">  All of us, of course, lie to ourselves, and so we are all born suckers, but some more than others, and it depends on how tightly we hold to our own lies.  Marks need to hear stories, and so con artists must tell them to get paid: they are two sides to the same coin, no different from supply and demand or purchase and sale.</w:t>
      </w:r>
    </w:p>
    <w:p w14:paraId="0DDD3D31" w14:textId="77777777" w:rsidR="003B5820" w:rsidRDefault="003B5820" w:rsidP="003B5820">
      <w:pPr>
        <w:rPr>
          <w:b/>
          <w:bCs/>
        </w:rPr>
      </w:pPr>
      <w:r>
        <w:rPr>
          <w:b/>
          <w:bCs/>
        </w:rPr>
        <w:t xml:space="preserve">Up on the </w:t>
      </w:r>
      <w:proofErr w:type="spellStart"/>
      <w:r>
        <w:rPr>
          <w:b/>
          <w:bCs/>
        </w:rPr>
        <w:t>the</w:t>
      </w:r>
      <w:proofErr w:type="spellEnd"/>
      <w:r>
        <w:rPr>
          <w:b/>
          <w:bCs/>
        </w:rPr>
        <w:t xml:space="preserve"> Stage at the Ad Hoc Political Committee </w:t>
      </w:r>
    </w:p>
    <w:p w14:paraId="7B812BCE" w14:textId="77777777" w:rsidR="003B5820" w:rsidRDefault="003B5820" w:rsidP="003B5820">
      <w:r>
        <w:t xml:space="preserve">The 1950 to 1955 AHPC meetings on the Palestinian refugees set the pattern for the whole of this issue and conflict until today.  They start with the first report by the Director of the UN Relief and Works Agency for Palestine Refugees in the Near East (UNRWA), an agency that was set up to settle these refugees, and end with the Suez war in 1956, the first war after that of 1948.  The two sides at these meetings are the states who host the refugees: Jordan, Egypt, Syria, and Lebanon, who are all allied with other members of the Arab League, many Muslim states, and various others.  Their most basic aim is to ensure that the conflict keeps going for as long as is necessary to win, and to this end, the refugees must never be settled.  On the other side are the funders of the UNRWA: the US, UK, France, and Turkey, as well as </w:t>
      </w:r>
      <w:proofErr w:type="gramStart"/>
      <w:r>
        <w:t>a number of</w:t>
      </w:r>
      <w:proofErr w:type="gramEnd"/>
      <w:r>
        <w:t xml:space="preserve"> other states.  All these generally want the refugees to be settled, the payments to them ended, and the conflict to die down. Israel, who also wants the conflict ended and the refugees settled, overlaps with the funders in much of the argumentation, but is best understood as its own side, if only because the funders don’t want to be seen to be closely aligned with it.  It understands this, and rarely turns to them for help in the meetings.  Besides that, its relations with the funders and their allies are weak: it is a new state which had, before independence, fought against the UK, and all the others were wary of endangering their relations with the Arab world.  For the US, a primary issue is oil, for France, it is Algeria, and for Turkey, it is a Muslim state in the Middle East </w:t>
      </w:r>
      <w:r>
        <w:lastRenderedPageBreak/>
        <w:t>with long religious and cultural ties to the Arab world, to say nothing of having ruled most of it for some 400 years.</w:t>
      </w:r>
    </w:p>
    <w:p w14:paraId="257A8815" w14:textId="77777777" w:rsidR="003B5820" w:rsidRDefault="003B5820" w:rsidP="003B5820">
      <w:r>
        <w:t xml:space="preserve">The con artist always wants something from the mark that they </w:t>
      </w:r>
      <w:proofErr w:type="gramStart"/>
      <w:r>
        <w:t>have to</w:t>
      </w:r>
      <w:proofErr w:type="gramEnd"/>
      <w:r>
        <w:t xml:space="preserve"> give; in this case it is recognition of refugee rights that will keep that status going indefinitely, and the funding to make that status real.  If it is reasonable to see our con artist as a team, and Irwin tells us that there is often a large team working on the pigeon, it might be helpful to take one mark and make him the stand-in for the group.  This will allow us to see the relationship in its necessary intimacy.  The best choice would be Philip C. Jessup, US delegate to many of the meetings.  Jessup was a classic US diplomat and scholar with a degree from Yale Law school and a PhD from Columbia.  He was all WASP, and his grandfather, Henry Harris Jessup, was a Presbyterian missionary in Syria, living there for most of his adult life, raising his children there and turning down some plum jobs in the US </w:t>
      </w:r>
      <w:proofErr w:type="gramStart"/>
      <w:r>
        <w:t>in order to</w:t>
      </w:r>
      <w:proofErr w:type="gramEnd"/>
      <w:r>
        <w:t xml:space="preserve"> stay there.  Jessup’s father would certainly have been an Arabic speaker and would have told exotic tales of life as a child in Beirut.</w:t>
      </w:r>
      <w:r>
        <w:rPr>
          <w:rStyle w:val="EndnoteReference"/>
        </w:rPr>
        <w:endnoteReference w:id="9"/>
      </w:r>
      <w:r>
        <w:t xml:space="preserve">  Jessup taught international law at Columbia for 25 years, and held a variety of diplomatic posts, working for the US, the League of Nations (LN), and the UN.  When Jessup was smeared by Senator Joe McCarthy as a Communist (he certainly wasn’t) and he was rejected by the Senate, President Truman made Jessup an interim appointment to the UN.  He capped his career with 9 years sitting on the bench as a judge for the International Court of Justice, perhaps the highest honor a scholar of international law can have.  Jessup was a true believer in the reality and value of the international community and its law</w:t>
      </w:r>
      <w:r>
        <w:rPr>
          <w:rStyle w:val="EndnoteReference"/>
        </w:rPr>
        <w:endnoteReference w:id="10"/>
      </w:r>
      <w:r>
        <w:t xml:space="preserve"> and worked for its recognition and application.   He came to the UN fully prepared to work for his country and the UN as well.  There were other able and prepared diplomats representing the states that wanted to contain and settle the conflict, but as the US delegate, Jessup was far and away the most important of them, so he can represent them all.</w:t>
      </w:r>
    </w:p>
    <w:p w14:paraId="68C3460C" w14:textId="77777777" w:rsidR="003B5820" w:rsidRDefault="003B5820" w:rsidP="003B5820">
      <w:r>
        <w:t>The con artist sets the stage for a scam by taking the mark out of their usual environment into a new and confusing situation.</w:t>
      </w:r>
      <w:r>
        <w:rPr>
          <w:rStyle w:val="EndnoteReference"/>
        </w:rPr>
        <w:endnoteReference w:id="11"/>
      </w:r>
      <w:r>
        <w:t xml:space="preserve"> This puts the mark in a state of ambiguity and uncertainty, where they see that the usual answers don’t apply.  Now the need to create meaning in the situation kicks in, and it is a powerful need.  </w:t>
      </w:r>
      <w:proofErr w:type="spellStart"/>
      <w:r>
        <w:t>Cantril</w:t>
      </w:r>
      <w:proofErr w:type="spellEnd"/>
      <w:r>
        <w:t xml:space="preserve"> calls this a critical situation: </w:t>
      </w:r>
      <w:r w:rsidRPr="000A5438">
        <w:t>“</w:t>
      </w:r>
      <w:r w:rsidRPr="000A5438">
        <w:rPr>
          <w:i/>
          <w:iCs/>
        </w:rPr>
        <w:t xml:space="preserve">A critical situation may be said to arise when an individual is confronted by a chaotic external environment which he cannot interpret and which he wants to interpret.  </w:t>
      </w:r>
      <w:r w:rsidRPr="000A5438">
        <w:t>The more directly an individual’s ego is involved, the more critical is the situation.”</w:t>
      </w:r>
      <w:r>
        <w:t xml:space="preserve"> This situation can exist for individuals or cultures and societies.</w:t>
      </w:r>
      <w:r>
        <w:rPr>
          <w:rStyle w:val="EndnoteReference"/>
        </w:rPr>
        <w:endnoteReference w:id="12"/>
      </w:r>
      <w:r>
        <w:t xml:space="preserve"> When people are in a critical situation, they are suggestable because they are looking for meaning, and the con artist is there to supply it for them.  Fleeing ambiguity and meaninglessness, they are willing to accept all sorts of answers.</w:t>
      </w:r>
      <w:r>
        <w:rPr>
          <w:rStyle w:val="EndnoteReference"/>
        </w:rPr>
        <w:endnoteReference w:id="13"/>
      </w:r>
      <w:r>
        <w:rPr>
          <w:rStyle w:val="EndnoteReference"/>
        </w:rPr>
        <w:t xml:space="preserve"> </w:t>
      </w:r>
      <w:r>
        <w:t xml:space="preserve">  Sometimes the answers come from a politician, sometimes from a man running a shell game on the back seat of a public bus: “Of course you know where the pea is, I just showed it to you.”</w:t>
      </w:r>
    </w:p>
    <w:p w14:paraId="266331F2" w14:textId="77777777" w:rsidR="003B5820" w:rsidRDefault="003B5820" w:rsidP="003B5820">
      <w:r>
        <w:t>A good way to see how this works is to go to the circus, a favorite haunt of con artists.  Irwin tells us that 80% of the profits of some small circuses came from crooked games.</w:t>
      </w:r>
      <w:r>
        <w:rPr>
          <w:rStyle w:val="EndnoteReference"/>
        </w:rPr>
        <w:endnoteReference w:id="14"/>
      </w:r>
      <w:r>
        <w:t xml:space="preserve">  People go to the circus to be transported out of their own life, and indeed they are.  There were </w:t>
      </w:r>
      <w:r>
        <w:lastRenderedPageBreak/>
        <w:t>bearded women, tattooed women showing a great deal of very colorful skin, men willing to put their head into a lion’s mouth, scantily-clad women flying through the air; all of it is designed to tell you that what you know and believe isn’t enough to understand what you experience here; this is the critical situation  You are in the company of a whole awe-struck audience, and together, you can believe that anything is possible.</w:t>
      </w:r>
      <w:r>
        <w:rPr>
          <w:rStyle w:val="EndnoteReference"/>
        </w:rPr>
        <w:endnoteReference w:id="15"/>
      </w:r>
      <w:r>
        <w:t xml:space="preserve">  In this environment, it is entirely possible that you could win at three-card monte, so you might as well try, and many, many do.  The circus is one of the more harmless exploiters of this tool; </w:t>
      </w:r>
      <w:proofErr w:type="spellStart"/>
      <w:r>
        <w:t>Cantril</w:t>
      </w:r>
      <w:proofErr w:type="spellEnd"/>
      <w:r>
        <w:t xml:space="preserve"> also makes case studies of lynch mobs and the Nazi party.</w:t>
      </w:r>
      <w:r>
        <w:rPr>
          <w:rStyle w:val="EndnoteReference"/>
        </w:rPr>
        <w:endnoteReference w:id="16"/>
      </w:r>
      <w:r>
        <w:t xml:space="preserve">   </w:t>
      </w:r>
    </w:p>
    <w:p w14:paraId="467FE6DB" w14:textId="77777777" w:rsidR="003B5820" w:rsidRDefault="003B5820" w:rsidP="003B5820">
      <w:r>
        <w:t>It is true that the UN isn’t much like a circus, so what is the connection?  Diplomats and planners were used to solving situations like Palestine’s in the post-war era.  There were other partitions of states, boundaries were moved, and the unsettlement created about 40 million refugees in the post-war world.</w:t>
      </w:r>
      <w:r>
        <w:rPr>
          <w:rStyle w:val="EndnoteReference"/>
        </w:rPr>
        <w:endnoteReference w:id="17"/>
      </w:r>
      <w:r>
        <w:t xml:space="preserve">  By the time these discussions start, some 13-15 million German refugees and a slightly larger number of refugees of the Indian/Pakistani partition were well on their way to being rehabilitated.   The states that funded UNRWA, primarily the US, UK, France, some northern European states and the Dominions, believed that they understood just how to settle the refugees, and doing that would begin the settlement of the conflict generally.  They would settle them in states that had some commonality of culture, religion or language with the refugees, as had happened with the Germans, refugees of the subcontinent, those Jewish refugees who went to Israel, Poles from what had been Eastern Poland, various Balkan peoples, and other, smaller groups.  There were </w:t>
      </w:r>
      <w:proofErr w:type="gramStart"/>
      <w:r>
        <w:t>a number of</w:t>
      </w:r>
      <w:proofErr w:type="gramEnd"/>
      <w:r>
        <w:t xml:space="preserve"> plans created by experts to support this approach and all of them had the refugees rehabilitated in a few years.    However, a coalition of the Arab states, Muslim states and others frustrated this approach from the start.  Their claim that the Palestinian refugees had nothing in common with the rest of the refugees in the world as they weren’t created by a war,</w:t>
      </w:r>
      <w:r>
        <w:rPr>
          <w:rStyle w:val="EndnoteReference"/>
        </w:rPr>
        <w:endnoteReference w:id="18"/>
      </w:r>
      <w:r>
        <w:t xml:space="preserve"> weren’t political refugees,</w:t>
      </w:r>
      <w:r>
        <w:rPr>
          <w:rStyle w:val="EndnoteReference"/>
        </w:rPr>
        <w:endnoteReference w:id="19"/>
      </w:r>
      <w:r>
        <w:t xml:space="preserve"> and could never be settled in Arab states</w:t>
      </w:r>
      <w:r>
        <w:rPr>
          <w:rStyle w:val="EndnoteReference"/>
        </w:rPr>
        <w:endnoteReference w:id="20"/>
      </w:r>
      <w:r>
        <w:t xml:space="preserve"> rejected the use of the usual strategies that people knew would work.  What was left was a critical situation: they went in expecting that they understood the problem and its solution but were confronted with a situation where their understanding failed </w:t>
      </w:r>
      <w:proofErr w:type="gramStart"/>
      <w:r>
        <w:t>them</w:t>
      </w:r>
      <w:proofErr w:type="gramEnd"/>
      <w:r>
        <w:t xml:space="preserve"> and they lost the ability to find meaning.  </w:t>
      </w:r>
      <w:proofErr w:type="spellStart"/>
      <w:r>
        <w:t>Cantril</w:t>
      </w:r>
      <w:proofErr w:type="spellEnd"/>
      <w:r>
        <w:t xml:space="preserve"> argues that when old norms have </w:t>
      </w:r>
      <w:proofErr w:type="gramStart"/>
      <w:r>
        <w:t>collapsed</w:t>
      </w:r>
      <w:proofErr w:type="gramEnd"/>
      <w:r>
        <w:t xml:space="preserve"> and the accompanying anxiety sets in that it is easy to offer replacements that will be taken up to reestablish meaning.</w:t>
      </w:r>
      <w:r>
        <w:rPr>
          <w:rStyle w:val="EndnoteReference"/>
        </w:rPr>
        <w:endnoteReference w:id="21"/>
      </w:r>
      <w:r>
        <w:t xml:space="preserve"> </w:t>
      </w:r>
    </w:p>
    <w:p w14:paraId="33C84683" w14:textId="77777777" w:rsidR="003B5820" w:rsidRDefault="003B5820" w:rsidP="003B5820">
      <w:pPr>
        <w:rPr>
          <w:b/>
          <w:bCs/>
        </w:rPr>
      </w:pPr>
      <w:r>
        <w:rPr>
          <w:b/>
          <w:bCs/>
        </w:rPr>
        <w:t>The Chiseler’s Tools to Snooker and Gull</w:t>
      </w:r>
    </w:p>
    <w:p w14:paraId="2545D919" w14:textId="77777777" w:rsidR="003B5820" w:rsidRPr="0074139E" w:rsidRDefault="003B5820" w:rsidP="003B5820">
      <w:r>
        <w:t>The con artist must step into this void and offer meaning that he can use to advantage and has a set of techniques that are proven to convince.</w:t>
      </w:r>
      <w:r>
        <w:rPr>
          <w:rStyle w:val="EndnoteReference"/>
        </w:rPr>
        <w:endnoteReference w:id="22"/>
      </w:r>
      <w:r>
        <w:t xml:space="preserve">  A common tool is a torrent of language; just think of a circus side-show barker.  The sharpie must monopolize the conversation to ensure that the mark has no time to think and form objections, much less have the space to voice them.  If there is a team of con artists, then they support each other, and form a confident wall that shows that there is unanimity of opinion, and any objections are a dissident, outlying voice that ought to be given little regard. The mark must be kept off guard, not allowed to win at anything so they will stay in the game.  Occasionally, if the sucker gets too many ideas of their own, intimidation might be used, </w:t>
      </w:r>
      <w:r>
        <w:lastRenderedPageBreak/>
        <w:t xml:space="preserve">and in a real emergency, violence threatened, and if things get bad, even done.  It is best if the con artist doesn’t have to plant new ideas in the mark’s head, as this is hard work.  It is always best to work with what the mark already believes and wants for themselves; this is the path of least resistance.     </w:t>
      </w:r>
    </w:p>
    <w:p w14:paraId="03A64ED4" w14:textId="77777777" w:rsidR="003B5820" w:rsidRDefault="003B5820" w:rsidP="003B5820">
      <w:r w:rsidRPr="00646D11">
        <w:t xml:space="preserve">With a large team, it is </w:t>
      </w:r>
      <w:r>
        <w:t>easy to dominate the discussion, and the various members of the team, comprising of all the members of the Arab League, representatives of the refugees themselves, Muslim states like Pakistan and Indonesia, and other states seeking to maintain good relations with the Muslim world or their own Muslim minorities, and here India is the best example, easily control most of the discussions.  With so many states working together, it is easy to create a sense of unanimity, even if it doesn’t exist.  Once the impression is created, then it is simply stated, making it a truth.  The Pakistani delegate says it clearly: “</w:t>
      </w:r>
      <w:r w:rsidRPr="00A41639">
        <w:t xml:space="preserve">His delegation was happy to note the climate of accord in the Committee and hoped that it would be possible to work out a draft resolution which </w:t>
      </w:r>
      <w:r>
        <w:t xml:space="preserve">would </w:t>
      </w:r>
      <w:r w:rsidRPr="00A41639">
        <w:t>receive unanimous support in the General Assembly.</w:t>
      </w:r>
      <w:r>
        <w:t>”</w:t>
      </w:r>
      <w:r>
        <w:rPr>
          <w:rStyle w:val="EndnoteReference"/>
        </w:rPr>
        <w:endnoteReference w:id="23"/>
      </w:r>
      <w:r>
        <w:t xml:space="preserve">  By simply ignoring any opposition, even Israel’s loud opposition, and creating a community of all, it means that any all who might want to dissent will need to do so publicly and declare themselves outside the community.  This takes a strong and rare will, even more rare among diplomats, and most rare of all among diplomats at the UN, where the whole game is to figure out what wording will gain a majority.  </w:t>
      </w:r>
      <w:proofErr w:type="spellStart"/>
      <w:r>
        <w:t>Cantril</w:t>
      </w:r>
      <w:proofErr w:type="spellEnd"/>
      <w:r>
        <w:t xml:space="preserve"> covers this as well and in the chapter on lynch mobs gives the characteristics of a mob, including point number two, ‘the impression of universality.”</w:t>
      </w:r>
      <w:r>
        <w:rPr>
          <w:rStyle w:val="EndnoteReference"/>
        </w:rPr>
        <w:endnoteReference w:id="24"/>
      </w:r>
      <w:r>
        <w:t xml:space="preserve"> </w:t>
      </w:r>
      <w:r w:rsidRPr="00A41639">
        <w:t xml:space="preserve"> </w:t>
      </w:r>
    </w:p>
    <w:p w14:paraId="1E2ADE14" w14:textId="77777777" w:rsidR="003B5820" w:rsidRDefault="003B5820" w:rsidP="003B5820">
      <w:r>
        <w:t>Irwin is clear about this: never let your mark win at the start.</w:t>
      </w:r>
      <w:r>
        <w:rPr>
          <w:rStyle w:val="EndnoteReference"/>
        </w:rPr>
        <w:endnoteReference w:id="25"/>
      </w:r>
      <w:r>
        <w:t xml:space="preserve">  If this is a principle of the good grifter, we should find it at work here as well.  Sure enough, the 1950 sessions were all about how to define the refugees, and the humanitarian and legal view taken by the group led by the Arab States wins it.  But at least that offered the group of funders and their allies, who were looking to end refugee status, some definition of the problem to work with and create strategies around.  No wonder, then, that in the second meeting of the 1951 session, the Saudi Arabian delegate accepts that they are in fact political refugees, putting the mark back off balance and in the critical situation.</w:t>
      </w:r>
      <w:r>
        <w:rPr>
          <w:rStyle w:val="EndnoteReference"/>
        </w:rPr>
        <w:endnoteReference w:id="26"/>
      </w:r>
      <w:r>
        <w:t xml:space="preserve">  Nothing is ever solid in the orbit of the con artist; it must all remain malleable to fit the needs of the moment.  If there is no tease of winning at the start, it goes without saying that there is no winning at the end; a grift is never a compromise or win-win situation.</w:t>
      </w:r>
      <w:r>
        <w:rPr>
          <w:rStyle w:val="EndnoteReference"/>
        </w:rPr>
        <w:endnoteReference w:id="27"/>
      </w:r>
    </w:p>
    <w:p w14:paraId="6D966E8B" w14:textId="77777777" w:rsidR="003B5820" w:rsidRDefault="003B5820" w:rsidP="003B5820">
      <w:r>
        <w:t>The con artist is a manager of people, of their hopes, dreams and expectations of love, wealth and belonging.  There is, however, a great deal of disappointment to be managed in his work, as it isn’t always possible to be long gone when it comes to fruition.  All the games at the circus, for example, must be lost right there, with the grifter, the sucker and the audience all in view.  Managing defeat is part of the game and must be matched to the defeated, and the grifter has to do it in such a way that the audience isn’t alienated, as that is where the next mark is..</w:t>
      </w:r>
      <w:r>
        <w:rPr>
          <w:rStyle w:val="EndnoteReference"/>
        </w:rPr>
        <w:endnoteReference w:id="28"/>
      </w:r>
      <w:r>
        <w:t xml:space="preserve">  In these meetings, the main tool of managing those who don’t fall into line is intimidation and threats of violence; in international relations, the possibility of war always lurks in the background.</w:t>
      </w:r>
      <w:r>
        <w:rPr>
          <w:rStyle w:val="EndnoteReference"/>
        </w:rPr>
        <w:endnoteReference w:id="29"/>
      </w:r>
      <w:r>
        <w:t xml:space="preserve">  The usual approach is to say that because the refugees are unsettled, they constitute a threat to the peace that might explode at any </w:t>
      </w:r>
      <w:r>
        <w:lastRenderedPageBreak/>
        <w:t>time.</w:t>
      </w:r>
      <w:r>
        <w:rPr>
          <w:rStyle w:val="EndnoteReference"/>
        </w:rPr>
        <w:endnoteReference w:id="30"/>
      </w:r>
      <w:r>
        <w:t xml:space="preserve">  It is important that no opposition be allowed, and it is often the case that when states are called out for their opposition, it is after they have retracted their opposition and come to assent with the majority.</w:t>
      </w:r>
      <w:r>
        <w:rPr>
          <w:rStyle w:val="EndnoteReference"/>
        </w:rPr>
        <w:endnoteReference w:id="31"/>
      </w:r>
      <w:r>
        <w:t xml:space="preserve">  </w:t>
      </w:r>
    </w:p>
    <w:p w14:paraId="3F1BBD10" w14:textId="77777777" w:rsidR="003B5820" w:rsidRDefault="003B5820" w:rsidP="003B5820">
      <w:r>
        <w:t xml:space="preserve">These are tools, but the con artist’s real skill is always in the story and that means lies.  An environment </w:t>
      </w:r>
      <w:proofErr w:type="gramStart"/>
      <w:r>
        <w:t>has to</w:t>
      </w:r>
      <w:proofErr w:type="gramEnd"/>
      <w:r>
        <w:t xml:space="preserve"> be created in which they can say anything, and it will sound plausible and not be challenged.  Once the con artist has achieved this, the sucker is fully hooked and can be played at will.  Lots of lies are told, and most are never refuted, except occasionally by Israel.  A good example is that the UN can force member states to do things that the state doesn’t want to do.</w:t>
      </w:r>
      <w:r>
        <w:rPr>
          <w:rStyle w:val="EndnoteReference"/>
        </w:rPr>
        <w:endnoteReference w:id="32"/>
      </w:r>
      <w:r>
        <w:t xml:space="preserve">  This simply isn’t true and is a serious misunderstanding of the UN and its abilities.</w:t>
      </w:r>
      <w:r>
        <w:rPr>
          <w:rStyle w:val="EndnoteReference"/>
        </w:rPr>
        <w:endnoteReference w:id="33"/>
      </w:r>
      <w:r>
        <w:t xml:space="preserve">   Another lie is that the UNGA can create rights, as in UNGA resolution 181, 194 and so many others.  It can’t; it is a study and debate forum that can make recommendations.</w:t>
      </w:r>
      <w:r>
        <w:rPr>
          <w:rStyle w:val="EndnoteReference"/>
        </w:rPr>
        <w:endnoteReference w:id="34"/>
      </w:r>
      <w:r>
        <w:t xml:space="preserve">  </w:t>
      </w:r>
    </w:p>
    <w:p w14:paraId="2630DE50" w14:textId="77777777" w:rsidR="003B5820" w:rsidRDefault="003B5820" w:rsidP="003B5820">
      <w:r w:rsidRPr="006028A4">
        <w:t>Much is made in the AHPC discussions of human rights, but is it a term to illuminate or obscure?  The Universal Declaration of Human Rights</w:t>
      </w:r>
      <w:r>
        <w:t xml:space="preserve"> (UDHR)</w:t>
      </w:r>
      <w:r w:rsidRPr="006028A4">
        <w:t xml:space="preserve"> was passed by the UNGA 10 December 1948, </w:t>
      </w:r>
      <w:r>
        <w:t xml:space="preserve">therefore it is a recommendation, like </w:t>
      </w:r>
      <w:proofErr w:type="gramStart"/>
      <w:r>
        <w:t>all of</w:t>
      </w:r>
      <w:proofErr w:type="gramEnd"/>
      <w:r>
        <w:t xml:space="preserve"> the UNGA’s work.   B</w:t>
      </w:r>
      <w:r w:rsidRPr="006028A4">
        <w:t>ut</w:t>
      </w:r>
      <w:r>
        <w:t xml:space="preserve"> even if we were to treat it as a law,</w:t>
      </w:r>
      <w:r w:rsidRPr="006028A4">
        <w:t xml:space="preserve"> it isn’t clear what sort of law it is.  If it is positive law,  then any rights it confers apply to refugees created after that date, which is a small percentage of the Palestinian refugees; if it is natural law, applicable to all and true at any time, including before its passage, then it is hard to explain why the rest of the 40 million post-WWII refugees don’t have the same right of return</w:t>
      </w:r>
      <w:r>
        <w:t>, the right to be cared for by the UN,</w:t>
      </w:r>
      <w:r w:rsidRPr="006028A4">
        <w:t xml:space="preserve"> and other rights claimed in these discussions.  This is only the beginning of the problems with claiming human rights.  All of the commentators understood that the passage by the UNGA was a symbolic act without legal meaning; what </w:t>
      </w:r>
      <w:r>
        <w:t xml:space="preserve">would </w:t>
      </w:r>
      <w:r w:rsidRPr="006028A4">
        <w:t>g</w:t>
      </w:r>
      <w:r>
        <w:t>i</w:t>
      </w:r>
      <w:r w:rsidRPr="006028A4">
        <w:t>ve it effect was its adoption into the municipal law of the various states.</w:t>
      </w:r>
      <w:r w:rsidRPr="006028A4">
        <w:rPr>
          <w:vertAlign w:val="superscript"/>
        </w:rPr>
        <w:endnoteReference w:id="35"/>
      </w:r>
      <w:r w:rsidRPr="006028A4">
        <w:t xml:space="preserve">  In any case, a declaration is in no way binding</w:t>
      </w:r>
      <w:r>
        <w:t>; it</w:t>
      </w:r>
      <w:r w:rsidRPr="006028A4">
        <w:t xml:space="preserve"> is only a statement of aspirations; and is expressly different from a treaty, which </w:t>
      </w:r>
      <w:r>
        <w:t>creates</w:t>
      </w:r>
      <w:r w:rsidRPr="006028A4">
        <w:t xml:space="preserve"> binding obligations.</w:t>
      </w:r>
      <w:r w:rsidRPr="006028A4">
        <w:rPr>
          <w:vertAlign w:val="superscript"/>
        </w:rPr>
        <w:endnoteReference w:id="36"/>
      </w:r>
      <w:r w:rsidRPr="006028A4">
        <w:t xml:space="preserve">  Given that a declaration, unlike a convention</w:t>
      </w:r>
      <w:r>
        <w:t xml:space="preserve"> or treaty</w:t>
      </w:r>
      <w:r w:rsidRPr="006028A4">
        <w:t>, doesn’t require states to ratify it, it is hard to know the attitude of states to incorporating it into their own municipal law.   However, it is improbable that many of the states who called upon it so often for others accorded those rights to their own citizens.  S</w:t>
      </w:r>
      <w:r>
        <w:t>audi</w:t>
      </w:r>
      <w:r w:rsidRPr="006028A4">
        <w:t xml:space="preserve"> Arabia</w:t>
      </w:r>
      <w:r>
        <w:t xml:space="preserve"> abstained</w:t>
      </w:r>
      <w:r w:rsidRPr="006028A4">
        <w:t xml:space="preserve"> and Yemen</w:t>
      </w:r>
      <w:r>
        <w:t xml:space="preserve"> voted against UDHR</w:t>
      </w:r>
      <w:r w:rsidRPr="006028A4">
        <w:t>,</w:t>
      </w:r>
      <w:r>
        <w:t xml:space="preserve"> both on religious grounds, so it is probable that at least these two hadn’t offered it to their own citizens, which is the step that matters.  At least on ethical grounds, if not legal, it is hard to take seriously a call for other states to accord people rights when the one calling for it hasn’t yet made it law for themselves.  Even this isn’t the end of the problems of this approach: about half of the refugees were Jordanian citizens, so it is hard to image how Israel putting human rights into its own municipal law would affect them.  </w:t>
      </w:r>
    </w:p>
    <w:p w14:paraId="3BCD7230" w14:textId="77777777" w:rsidR="003B5820" w:rsidRDefault="003B5820" w:rsidP="003B5820">
      <w:r>
        <w:t>There are many calls for the fulfillment of the Palestinian people’s legitimate rights of self-determination.  This is a reasonable argument that was at the core of the UN’s partition recommendation in 181: two nation-states for two peoples.  Even after the war, Israel recognized that a Palestinian state could be established in the West Bank and Gaza, and called for that.</w:t>
      </w:r>
      <w:r>
        <w:rPr>
          <w:rStyle w:val="EndnoteReference"/>
        </w:rPr>
        <w:endnoteReference w:id="37"/>
      </w:r>
      <w:r>
        <w:t xml:space="preserve">  This, unfortunately, wasn’t an acceptable solution to the Arab side, and so </w:t>
      </w:r>
      <w:r>
        <w:lastRenderedPageBreak/>
        <w:t xml:space="preserve">wasn’t implemented.  They take it that there is a right to self-determination that must be allowed on the terms of the people exercising it.  </w:t>
      </w:r>
      <w:proofErr w:type="spellStart"/>
      <w:r>
        <w:t>Kelsen</w:t>
      </w:r>
      <w:proofErr w:type="spellEnd"/>
      <w:r>
        <w:t xml:space="preserve"> is clear that no such thing exists, only the sovereign rights of states.</w:t>
      </w:r>
      <w:r>
        <w:rPr>
          <w:rStyle w:val="EndnoteReference"/>
        </w:rPr>
        <w:endnoteReference w:id="38"/>
      </w:r>
      <w:r>
        <w:t xml:space="preserve">  Even without this understanding, group rights had been such a point of contention and conflict for the LN that they were rejected at the start of the UN and replaced by offering rights to individuals, which are human rights.</w:t>
      </w:r>
      <w:r>
        <w:rPr>
          <w:rStyle w:val="EndnoteReference"/>
        </w:rPr>
        <w:endnoteReference w:id="39"/>
      </w:r>
      <w:r>
        <w:t xml:space="preserve">  The experience with group rights had shown that they would produce conflict and resentment; if the UN was to work for a more settled world, it was reasonable that they rejected them.  </w:t>
      </w:r>
    </w:p>
    <w:p w14:paraId="53A26E15" w14:textId="77777777" w:rsidR="003B5820" w:rsidRDefault="003B5820" w:rsidP="003B5820">
      <w:r>
        <w:t>Sometimes, the lies are just outrageous statement that test how much will be acceptable to the mark.  A good example is the delegate of Pakistan claiming that millions of refugees of the partition in the Indian Subcontinent had returned home and been supported in this by the states they had returned to, even to the extent that the two governments evicted people who had taken over houses of expellees.</w:t>
      </w:r>
      <w:r>
        <w:rPr>
          <w:rStyle w:val="EndnoteReference"/>
        </w:rPr>
        <w:endnoteReference w:id="40"/>
      </w:r>
      <w:r>
        <w:t xml:space="preserve"> Nothing could be further from the truth, and many people in the room must have known that.  There was a large literature at the time, as well as newspaper reports, and treatment and rehabilitation of the refugees were live political topics in both states.</w:t>
      </w:r>
      <w:r>
        <w:rPr>
          <w:rStyle w:val="EndnoteReference"/>
        </w:rPr>
        <w:endnoteReference w:id="41"/>
      </w:r>
      <w:r>
        <w:t xml:space="preserve">  Solid numbers are hard to come by, as there were some 20 million refugee and counts weren’t a priority, rehabilitating them was.  Most of the returnees were Muslims returning to India, and by </w:t>
      </w:r>
      <w:proofErr w:type="gramStart"/>
      <w:r>
        <w:t>May,</w:t>
      </w:r>
      <w:proofErr w:type="gramEnd"/>
      <w:r>
        <w:t xml:space="preserve"> 1948 perhaps 200-300,000 had returned.  India did all it could to stop the migration, and Pakistan had its own reasons to keep these people.  By October of that year, both states had criminalized crossing the boundary without a permit.</w:t>
      </w:r>
      <w:r>
        <w:rPr>
          <w:rStyle w:val="EndnoteReference"/>
        </w:rPr>
        <w:endnoteReference w:id="42"/>
      </w:r>
      <w:r>
        <w:t xml:space="preserve">  It would only get harder and more rigid after that.  The speech was simply made of whole cloth to support the notion that refugees could be easily returned without major disruptions and that there was a real precedent for this.  It is not surprising that India agreed to the fabrication, policy on Israel was one place that it could show its Muslim citizens and the Muslim world more generally that it was in accord with them.     </w:t>
      </w:r>
    </w:p>
    <w:p w14:paraId="196602E2" w14:textId="77777777" w:rsidR="003B5820" w:rsidRDefault="003B5820" w:rsidP="003B5820">
      <w:r w:rsidRPr="00532D5E">
        <w:t xml:space="preserve">The </w:t>
      </w:r>
      <w:r>
        <w:t>con artist</w:t>
      </w:r>
      <w:r w:rsidRPr="00532D5E">
        <w:t xml:space="preserve"> cannot be an unreasonable person; he </w:t>
      </w:r>
      <w:proofErr w:type="gramStart"/>
      <w:r w:rsidRPr="00532D5E">
        <w:t>has to</w:t>
      </w:r>
      <w:proofErr w:type="gramEnd"/>
      <w:r w:rsidRPr="00532D5E">
        <w:t xml:space="preserve"> understand and recognize the needs of the sucker and offer concessions and compromises, proving that he sees the legitimacy of all sides.  It is best if those concessions, like the stories, are without substance.  The primary concession offered by the Arab states is that they are willing to return to the dictates and boundaries of UNGA resolution 181, the partition passed in November of 1947.  Typical is Iraq’s statement: “But, despite their continued objections to it [181], the Arab States had made a great effort of compromise and had accepted the resolution. No one could do more.”</w:t>
      </w:r>
      <w:r w:rsidRPr="00532D5E">
        <w:rPr>
          <w:vertAlign w:val="superscript"/>
        </w:rPr>
        <w:endnoteReference w:id="43"/>
      </w:r>
      <w:r w:rsidRPr="00532D5E">
        <w:t xml:space="preserve">  This would have required that the Israelis relinquish all lands they took in the war beyond the boundaries of 181 and accept its other stipulations.  This offer comes up a lot, so it should be examined.  Firstly, as we have seen, UNGA can</w:t>
      </w:r>
      <w:r>
        <w:t xml:space="preserve"> </w:t>
      </w:r>
      <w:r w:rsidRPr="00532D5E">
        <w:t xml:space="preserve">only </w:t>
      </w:r>
      <w:r>
        <w:t xml:space="preserve">make </w:t>
      </w:r>
      <w:r w:rsidRPr="00532D5E">
        <w:t>recommendations; there is nothing here that might bind the parties, and while it isn’t at all clear who the party on the Arab side might be, Israel didn’t exist at the time.  The offer</w:t>
      </w:r>
      <w:r>
        <w:t xml:space="preserve">, preposterously, </w:t>
      </w:r>
      <w:r w:rsidRPr="00532D5E">
        <w:t>treats 181 as a treaty whose terms are enforceable.  However, only sovereign states have the right to make treaties,</w:t>
      </w:r>
      <w:r w:rsidRPr="00532D5E">
        <w:rPr>
          <w:vertAlign w:val="superscript"/>
        </w:rPr>
        <w:endnoteReference w:id="44"/>
      </w:r>
      <w:r w:rsidRPr="00532D5E">
        <w:t xml:space="preserve"> and there were no states that signed this.  Certainly no Arab state would have signed it, as they all voted </w:t>
      </w:r>
      <w:r>
        <w:t xml:space="preserve">and argued </w:t>
      </w:r>
      <w:r w:rsidRPr="00532D5E">
        <w:t>against it and states can only sign for themselves, not third parties.</w:t>
      </w:r>
      <w:r w:rsidRPr="00532D5E">
        <w:rPr>
          <w:vertAlign w:val="superscript"/>
        </w:rPr>
        <w:endnoteReference w:id="45"/>
      </w:r>
      <w:r w:rsidRPr="00532D5E">
        <w:t xml:space="preserve">  If it were a treaty, there are ways for either side to change it; these are codifications of some aspects of the </w:t>
      </w:r>
      <w:r w:rsidRPr="00532D5E">
        <w:lastRenderedPageBreak/>
        <w:t xml:space="preserve">unending tension between </w:t>
      </w:r>
      <w:r w:rsidRPr="00532D5E">
        <w:rPr>
          <w:i/>
          <w:iCs/>
        </w:rPr>
        <w:t xml:space="preserve">pacta sunt </w:t>
      </w:r>
      <w:proofErr w:type="spellStart"/>
      <w:r w:rsidRPr="00532D5E">
        <w:rPr>
          <w:i/>
          <w:iCs/>
        </w:rPr>
        <w:t>servanda</w:t>
      </w:r>
      <w:proofErr w:type="spellEnd"/>
      <w:r w:rsidRPr="00532D5E">
        <w:t xml:space="preserve"> (if you sign it, it is binding on you) and </w:t>
      </w:r>
      <w:r w:rsidRPr="00532D5E">
        <w:rPr>
          <w:i/>
          <w:iCs/>
        </w:rPr>
        <w:t xml:space="preserve">rebus sic stantibus </w:t>
      </w:r>
      <w:r w:rsidRPr="00532D5E">
        <w:t>(conditions have changed, so it no longer applies).</w:t>
      </w:r>
      <w:r w:rsidRPr="00532D5E">
        <w:rPr>
          <w:vertAlign w:val="superscript"/>
        </w:rPr>
        <w:endnoteReference w:id="46"/>
      </w:r>
      <w:r w:rsidRPr="00532D5E">
        <w:t xml:space="preserve">  There are four general ways that a treaty can be dissolved: it can expire, be dissolved by the parties, become void, or be cancelled.</w:t>
      </w:r>
      <w:r w:rsidRPr="00532D5E">
        <w:rPr>
          <w:vertAlign w:val="superscript"/>
        </w:rPr>
        <w:endnoteReference w:id="47"/>
      </w:r>
      <w:r w:rsidRPr="00532D5E">
        <w:t xml:space="preserve">  All of these have subsections, and it is easy to construct cases that, if 181 had been a treaty, it was already dissolved under various aspects of the last three.  However, that simply isn’t necessary, as it would certainly have been voided by the war that happened between its passage and the debates.  While it isn’t clear that all treaties between belligerents are cancelled by the outbreak of a war, political treaties certainly are.</w:t>
      </w:r>
      <w:r w:rsidRPr="00532D5E">
        <w:rPr>
          <w:vertAlign w:val="superscript"/>
        </w:rPr>
        <w:endnoteReference w:id="48"/>
      </w:r>
      <w:r w:rsidRPr="00532D5E">
        <w:t xml:space="preserve">  </w:t>
      </w:r>
      <w:r>
        <w:t>Even if all the above is ignored, a big ask, there are simple rules of succession of treaties that would have made the armistice treaties of 1949, negotiated with UN supervision and signed by sovereign states, the controlling documents.  This would have been undergraduate level study in international law.  The compromise is offered, but it is entirely meaningless, nothing at all has been given away.  Further, if the Israelis had accepted this, they had already been told that it was simply one of the prerequisites to negotiations,</w:t>
      </w:r>
      <w:r>
        <w:rPr>
          <w:rStyle w:val="EndnoteReference"/>
        </w:rPr>
        <w:endnoteReference w:id="49"/>
      </w:r>
      <w:r>
        <w:t xml:space="preserve"> and so they would have gotten nothing but significantly weakened their own position.  </w:t>
      </w:r>
    </w:p>
    <w:p w14:paraId="7989571D" w14:textId="77777777" w:rsidR="003B5820" w:rsidRDefault="003B5820" w:rsidP="003B5820">
      <w:r>
        <w:t>All of these were lies about the abilities of the UN, the UNGA and international law, but there was yet more.  Lies about Jews and the character of their new state were also told, a lot.  Lots of them are of the standard sort that have a long historical pedigree: Jews and money, Jews controlling the media, controlling states with their money and machinations, Jews being different from real humans; they are immoral and selfish in a unique way.</w:t>
      </w:r>
      <w:r>
        <w:rPr>
          <w:rStyle w:val="EndnoteReference"/>
        </w:rPr>
        <w:endnoteReference w:id="50"/>
      </w:r>
      <w:r>
        <w:t xml:space="preserve">  The old tropes of antisemitism and </w:t>
      </w:r>
      <w:proofErr w:type="spellStart"/>
      <w:r>
        <w:t>antijudaism</w:t>
      </w:r>
      <w:proofErr w:type="spellEnd"/>
      <w:r>
        <w:rPr>
          <w:rStyle w:val="EndnoteReference"/>
        </w:rPr>
        <w:endnoteReference w:id="51"/>
      </w:r>
      <w:r>
        <w:t xml:space="preserve"> are an excellent starting place, and will certainly strike a chord in the audience, most of whom will have grown up with them.  But times have changed, and stories must adapt to follow the history.  Now the stories about Jews must contend with the horror and guilt of the German holocaust of WWII, which has become a shorthand for the worst possible of human activities and implicates both European civilization and Christianity.  The Arab and Muslim states have a brilliant riposte to this: they simply make Israeli Jews, and by implication all Jews, Nazis themselves.</w:t>
      </w:r>
      <w:r>
        <w:rPr>
          <w:rStyle w:val="EndnoteReference"/>
        </w:rPr>
        <w:endnoteReference w:id="52"/>
      </w:r>
      <w:r>
        <w:t xml:space="preserve">  By making Jews the new Nazis, they can harness the energy of that word and strip away all the problems of genocide against Jews.  While the Arab states are willing to admit that the new state was a place of refuge for the many Jews in the DP camps, some of whom were the remnant who didn’t go up the chimneys, they can now separate them from that fate.  This also allows them to say that the creation of Israel was the responsibility of the international society and not the work of the many Jews who created institutions during the interwar period that became a viable state.  </w:t>
      </w:r>
    </w:p>
    <w:p w14:paraId="24DFEA86" w14:textId="77777777" w:rsidR="003B5820" w:rsidRDefault="003B5820" w:rsidP="003B5820">
      <w:pPr>
        <w:rPr>
          <w:b/>
          <w:bCs/>
        </w:rPr>
      </w:pPr>
      <w:r>
        <w:rPr>
          <w:b/>
          <w:bCs/>
        </w:rPr>
        <w:t>Meet the Mark</w:t>
      </w:r>
    </w:p>
    <w:p w14:paraId="3D34DB3D" w14:textId="77777777" w:rsidR="003B5820" w:rsidRDefault="003B5820" w:rsidP="003B5820">
      <w:r>
        <w:t xml:space="preserve">It is reasonable to consider the con artist as a team, that is often the case, what with boosters, shills and others seeded into the crowd to move the scam along.  But the mark is perhaps a different matter, because understanding the mark is the whole aim of the team of </w:t>
      </w:r>
      <w:proofErr w:type="gramStart"/>
      <w:r>
        <w:t>con-men</w:t>
      </w:r>
      <w:proofErr w:type="gramEnd"/>
      <w:r>
        <w:t xml:space="preserve">, that, and separating him from his money.  It is his psychology and interests that must be understood and managed to get there, and while there can certainly be </w:t>
      </w:r>
      <w:r>
        <w:lastRenderedPageBreak/>
        <w:t>national character and psychology,</w:t>
      </w:r>
      <w:r>
        <w:rPr>
          <w:rStyle w:val="EndnoteReference"/>
        </w:rPr>
        <w:endnoteReference w:id="53"/>
      </w:r>
      <w:r>
        <w:t xml:space="preserve"> now we can return to delegate Jessup to see what it is that the con artist might be offering him that appeals.  </w:t>
      </w:r>
    </w:p>
    <w:p w14:paraId="2FCB94B8" w14:textId="77777777" w:rsidR="003B5820" w:rsidRDefault="003B5820" w:rsidP="003B5820">
      <w:r>
        <w:t>Hope is key to the game; the mark must be an optimistic person or how will the con artist sell them on a dream?</w:t>
      </w:r>
      <w:r>
        <w:rPr>
          <w:rStyle w:val="EndnoteReference"/>
        </w:rPr>
        <w:endnoteReference w:id="54"/>
      </w:r>
      <w:r>
        <w:t xml:space="preserve">  Jessup is certainly that; one has only to read a savage review of his work by a hard-bitten realist to see his great faith.</w:t>
      </w:r>
      <w:r>
        <w:rPr>
          <w:rStyle w:val="EndnoteReference"/>
        </w:rPr>
        <w:endnoteReference w:id="55"/>
      </w:r>
      <w:r>
        <w:t xml:space="preserve">  His own writing is no defense, it is full of the optimistic view that humanity will see its common interests and unify in the end, thus ending the scourge of war.</w:t>
      </w:r>
      <w:r>
        <w:rPr>
          <w:rStyle w:val="EndnoteReference"/>
        </w:rPr>
        <w:endnoteReference w:id="56"/>
      </w:r>
      <w:r>
        <w:t xml:space="preserve">   The UN will solidify its rule and begin to have a monopoly on the use of force.  A step beyond mere optimism is revolutionary thought, which he is also willing to engage in.</w:t>
      </w:r>
      <w:r>
        <w:rPr>
          <w:rStyle w:val="EndnoteReference"/>
        </w:rPr>
        <w:endnoteReference w:id="57"/>
      </w:r>
      <w:r>
        <w:t xml:space="preserve"> The revolutionary is so assured of their own success that they are willing to risk chaos, knowing that what will come from it will be good.  The actual number of cases in which this has worked out is not many, but that also depends on the criteria used to evaluate; because that is strictly subjective, it can always be made to work out well.  The thing about optimism is that it is an attitude, feeling, grounded in faith, and so isn’t susceptible to the ravages of mere failure or facts and statistics.  The next throw of the dice might turn out for me.</w:t>
      </w:r>
      <w:r>
        <w:rPr>
          <w:rStyle w:val="EndnoteReference"/>
        </w:rPr>
        <w:endnoteReference w:id="58"/>
      </w:r>
      <w:r>
        <w:t xml:space="preserve"> </w:t>
      </w:r>
    </w:p>
    <w:p w14:paraId="30151D5A" w14:textId="77777777" w:rsidR="003B5820" w:rsidRDefault="003B5820" w:rsidP="003B5820">
      <w:r>
        <w:t>It is good if the mark wants something, and greed is the common element here, but it is also helpful if they are denying something.  The usual factor here is guilt, and if the con artist can offer expiation, the mark will be even more motivated to take the deal.  Some issues suggest themselves.  Before the war, Jessup was a leader in the isolationist movement to keep out of the war, advocating that the US remain neutral.</w:t>
      </w:r>
      <w:r>
        <w:rPr>
          <w:rStyle w:val="EndnoteReference"/>
        </w:rPr>
        <w:endnoteReference w:id="59"/>
      </w:r>
      <w:r>
        <w:t xml:space="preserve">  Hirsh </w:t>
      </w:r>
      <w:proofErr w:type="spellStart"/>
      <w:r>
        <w:t>Lauterpacht</w:t>
      </w:r>
      <w:proofErr w:type="spellEnd"/>
      <w:r>
        <w:t xml:space="preserve"> traveled to the US in 1940 to speak to Jessup and Erwin </w:t>
      </w:r>
      <w:proofErr w:type="spellStart"/>
      <w:r>
        <w:t>Borchard</w:t>
      </w:r>
      <w:proofErr w:type="spellEnd"/>
      <w:r>
        <w:t xml:space="preserve"> to try to convince them to abandon their commitment to the traditional notions of neutrality and develop a form of neutrality that still allowed a state to be partial in a war.</w:t>
      </w:r>
      <w:r>
        <w:rPr>
          <w:rStyle w:val="EndnoteReference"/>
        </w:rPr>
        <w:endnoteReference w:id="60"/>
      </w:r>
      <w:r>
        <w:t xml:space="preserve">  When the US finally entered the war, those upholding neutrality and impartiality in the later 1930s were accused of a failure of judgment in their assessment of German aims and the effect of the US remaining aloof from world affairs.  As the war went on and German actions became clearer, this failure became starker and deeper.  It is a guilt that Jessup would have shared with many colleagues from all parts of the world.   Other pre-war positions might have caused him discomfort.  Writing about European refugees in 1938, his main point is that people with good intensions will probably harm the very people they intend to help by thoughtless lobbying for intervention.</w:t>
      </w:r>
      <w:r>
        <w:rPr>
          <w:rStyle w:val="EndnoteReference"/>
        </w:rPr>
        <w:endnoteReference w:id="61"/>
      </w:r>
      <w:r>
        <w:t xml:space="preserve"> While he mentions the possibility of aiding Jews in Palestine twice, and uses the possibility of aiding Jews in the Russian Empire in the first decade of the 20</w:t>
      </w:r>
      <w:r w:rsidRPr="00995269">
        <w:rPr>
          <w:vertAlign w:val="superscript"/>
        </w:rPr>
        <w:t>th</w:t>
      </w:r>
      <w:r>
        <w:t xml:space="preserve"> century as an example, at no time does he mention the problems of Jews in Europe at the time of writing.  Nor does he raise the possibility that anyone might be let into the US; he limits his thinking to the value of the exchange of diplomatic notes.  Might this be a cause of guilt?  It is hard to say; his argument that law and practicality take precedence over actions motivated by humanitarian feelings is solid, and in any case, </w:t>
      </w:r>
      <w:proofErr w:type="gramStart"/>
      <w:r>
        <w:t>the majority of</w:t>
      </w:r>
      <w:proofErr w:type="gramEnd"/>
      <w:r>
        <w:t xml:space="preserve"> US society at the time was against the admission of Jewish refugees.  The Shoah and the Allies response to it clouds this simple innocence, and it is impossible to know what he thought about this, but, again, if there was guilt, it would have been widespread through the diplomats at the meetings. To make a scam work, the con artist must know how to work and expose both hopes and fears.</w:t>
      </w:r>
    </w:p>
    <w:p w14:paraId="3513DC9D" w14:textId="77777777" w:rsidR="003B5820" w:rsidRDefault="003B5820" w:rsidP="003B5820">
      <w:r>
        <w:lastRenderedPageBreak/>
        <w:t>Is Jessup guilty of mistaking the nature of the world and of international law?  His most optimistic writing is published at just about the time that the UN, on which he pinned such hopes, was descending into the paralysis of the veto crisis; the organization had little ability to agree to or do anything.  His belief that law could be made superior to politics was at odds with all the prevailing notions that the aims of a state were the most important issue, and that law that treated all states as equals would be useless if not harmful if states had radically different interests and aims. While the ravages of WWI had certainly raised serious doubts about the ability of law to constrain states’ actions, international society had gathered itself up for one more attempt at the law.  The interwar years were a highpoint of treaties and conventions, all of them abandoned or broken in the later 1930s.  The abject failure of law in WWII couldn’t be ignored and many scholars simply abandoned the field and went into international relations instead.</w:t>
      </w:r>
      <w:r>
        <w:rPr>
          <w:rStyle w:val="EndnoteReference"/>
        </w:rPr>
        <w:endnoteReference w:id="62"/>
      </w:r>
      <w:r>
        <w:t xml:space="preserve">  Jessup, a true believer, stayed.</w:t>
      </w:r>
    </w:p>
    <w:p w14:paraId="5603417C" w14:textId="77777777" w:rsidR="003B5820" w:rsidRPr="00607D21" w:rsidRDefault="003B5820" w:rsidP="003B5820">
      <w:pPr>
        <w:rPr>
          <w:b/>
          <w:bCs/>
        </w:rPr>
      </w:pPr>
      <w:r>
        <w:rPr>
          <w:b/>
          <w:bCs/>
        </w:rPr>
        <w:t xml:space="preserve">What the Sucker Had to Swallow </w:t>
      </w:r>
    </w:p>
    <w:p w14:paraId="55F412B4" w14:textId="77777777" w:rsidR="003B5820" w:rsidRDefault="003B5820" w:rsidP="003B5820">
      <w:r>
        <w:t xml:space="preserve">Once the con artist has come to understand the needs of the </w:t>
      </w:r>
      <w:proofErr w:type="gramStart"/>
      <w:r>
        <w:t>prey</w:t>
      </w:r>
      <w:proofErr w:type="gramEnd"/>
      <w:r>
        <w:t xml:space="preserve"> he can deliver them and close the net.  If the rube really is in the critical situation they will roll over for new answers.</w:t>
      </w:r>
      <w:r>
        <w:rPr>
          <w:rStyle w:val="EndnoteReference"/>
        </w:rPr>
        <w:endnoteReference w:id="63"/>
      </w:r>
      <w:r>
        <w:t xml:space="preserve">   Here at the point of the transition from one war to another, from the triumph of the creation of the UN in 1945 to its rapid descent into useless paralysis at the start of the Cold War, with the hope of the revitalization of international law that some had hoped for dashed, it is reasonable to say that that is where they were at.  Being in this unresolved state for long can be intolerable.</w:t>
      </w:r>
      <w:r>
        <w:rPr>
          <w:rStyle w:val="EndnoteReference"/>
        </w:rPr>
        <w:endnoteReference w:id="64"/>
      </w:r>
      <w:r>
        <w:t xml:space="preserve">   </w:t>
      </w:r>
      <w:proofErr w:type="spellStart"/>
      <w:r>
        <w:t>Cantril</w:t>
      </w:r>
      <w:proofErr w:type="spellEnd"/>
      <w:r>
        <w:t xml:space="preserve"> tells us the key to this moment: simplicity and continuity.</w:t>
      </w:r>
      <w:r>
        <w:rPr>
          <w:rStyle w:val="EndnoteReference"/>
        </w:rPr>
        <w:endnoteReference w:id="65"/>
      </w:r>
      <w:r>
        <w:t xml:space="preserve">  The solutions offered must be something that can be made into a short slogan, and they must work with ideas the mark already has.  Planting new thoughts, after all, is hard work; if the con artist can form new answers that contain elements of old, accepted norms, the job is easier.</w:t>
      </w:r>
      <w:r>
        <w:rPr>
          <w:rStyle w:val="EndnoteReference"/>
        </w:rPr>
        <w:endnoteReference w:id="66"/>
      </w:r>
      <w:r>
        <w:t xml:space="preserve"> </w:t>
      </w:r>
    </w:p>
    <w:p w14:paraId="0F7E695F" w14:textId="77777777" w:rsidR="003B5820" w:rsidRDefault="003B5820" w:rsidP="003B5820">
      <w:r>
        <w:t xml:space="preserve">Telling a room full of lawyers that all they need to do to solve a situation is to follow the law is like offering candy to a baby.  Law is the tool they know and are devoted to.  They are also offered a new relevance for international law, at that point in fatal collapse.  The mere fact that none of the body of works that are offered as solutions - human rights, self-determination, UNGA resolutions 181, 194 and others - meet the definition of law is largely inconsequential; they feel </w:t>
      </w:r>
      <w:proofErr w:type="spellStart"/>
      <w:r>
        <w:t>lawish</w:t>
      </w:r>
      <w:proofErr w:type="spellEnd"/>
      <w:r>
        <w:t xml:space="preserve">, so they can fill a need.  Further, this is international law, so even those things which are recognized as specific law, like treaties, can be magicked away with a wave of the </w:t>
      </w:r>
      <w:r w:rsidRPr="00D2738B">
        <w:rPr>
          <w:i/>
          <w:iCs/>
        </w:rPr>
        <w:t>rebus sic stantibus</w:t>
      </w:r>
      <w:r>
        <w:rPr>
          <w:i/>
          <w:iCs/>
        </w:rPr>
        <w:t xml:space="preserve"> </w:t>
      </w:r>
      <w:r w:rsidRPr="00D2738B">
        <w:t>wand.</w:t>
      </w:r>
      <w:r>
        <w:t xml:space="preserve">  The word ‘justice’ is constantly thrown about, another appealing term, loved by the crowd.  However, it has two unrelated meanings, depending on if one comes at it from the perspective of natural or positive law.  The marvelous thing is that it is the same word, and the listener can fill in their own meaning.  Together, apparent law and natural law justice form an argument in which law takes its rightful place in the world, superior to politics and this is just what these people need to hear at this moment, the nadir of international law.  Oddly, all that talk of justice is proof of the opposite: it is a subjective argument rooted in political aims.</w:t>
      </w:r>
      <w:r>
        <w:rPr>
          <w:rStyle w:val="EndnoteReference"/>
        </w:rPr>
        <w:endnoteReference w:id="67"/>
      </w:r>
      <w:r>
        <w:t xml:space="preserve">  Still, the language is </w:t>
      </w:r>
      <w:proofErr w:type="spellStart"/>
      <w:r>
        <w:t>lawish</w:t>
      </w:r>
      <w:proofErr w:type="spellEnd"/>
      <w:r>
        <w:t xml:space="preserve">, and so people can believe what they want, and they do want to believe.  There is nothing so typical of the flim-flam man than to offer the patsy something that looks </w:t>
      </w:r>
      <w:r>
        <w:lastRenderedPageBreak/>
        <w:t xml:space="preserve">like value, a bank account, a string of pearls, love, but that is a sham, and the dupe happily accepting it.  </w:t>
      </w:r>
    </w:p>
    <w:p w14:paraId="7F9D1D27" w14:textId="77777777" w:rsidR="003B5820" w:rsidRDefault="003B5820" w:rsidP="003B5820">
      <w:r>
        <w:t>The simple fact that the UN took on responsibility for the care of these refugees is nothing short of bizarre. Of the 40 million post-WWII refugees, the UN took on these and something a bit less than a million in the DP camps of Europe.  With these latter, they didn’t deliver aid, but legal and administrative help.  Under UNHCR rules, they were also limited as to how long they could get that help.   The fundamental argument is that because UNGA passed the Partition, resolution 181, the UN is responsible for all the actions after 181, including the war and the refugees that came out of that war.</w:t>
      </w:r>
      <w:r>
        <w:rPr>
          <w:rStyle w:val="EndnoteReference"/>
        </w:rPr>
        <w:endnoteReference w:id="68"/>
      </w:r>
      <w:r>
        <w:t xml:space="preserve"> Implicit in this argument is that if the UN hadn’t passed 181, none of the subsequent would have happened, and all would have been peaches and cream.  The Arab and Jewish communities in Palestine were not otherwise headed for conflict and the Jewish community had no ability to set up a state without the UN resolution.  An argument this weak takes a chiseler of the finest quality.  The UN, of course, took no action to support or impose 181, after it passed, the parties were left to fight it out.  The notion that the UN would incur a responsibility for the care of a large population into perpetuity,</w:t>
      </w:r>
      <w:r>
        <w:rPr>
          <w:rStyle w:val="EndnoteReference"/>
        </w:rPr>
        <w:endnoteReference w:id="69"/>
      </w:r>
      <w:r>
        <w:t xml:space="preserve"> expand the recipients beyond those allowed by UNRWA rules,</w:t>
      </w:r>
      <w:r>
        <w:rPr>
          <w:rStyle w:val="EndnoteReference"/>
        </w:rPr>
        <w:endnoteReference w:id="70"/>
      </w:r>
      <w:r>
        <w:t xml:space="preserve"> and that only the refugees themselves had the right to say how they should be treated and decide when the conflict was over</w:t>
      </w:r>
      <w:r>
        <w:rPr>
          <w:rStyle w:val="EndnoteReference"/>
        </w:rPr>
        <w:endnoteReference w:id="71"/>
      </w:r>
      <w:r>
        <w:t xml:space="preserve"> should have caused all work at the UNGA to stop if it was law and considered a precedent.  This was, after all, just a recommendation; how much responsibility can a recommendation incur?  But of course, it didn’t set any sort of precedent, the UNGA continued to pass plenty of resolutions without worrying about the costs.  Only this one was expected to incur actual costs.  What was it that the funders were trying to do, in taking on such a responsibility based on such specious arguments?</w:t>
      </w:r>
      <w:r>
        <w:rPr>
          <w:rStyle w:val="EndnoteReference"/>
        </w:rPr>
        <w:endnoteReference w:id="72"/>
      </w:r>
      <w:r>
        <w:t xml:space="preserve">  </w:t>
      </w:r>
    </w:p>
    <w:p w14:paraId="4974517C" w14:textId="77777777" w:rsidR="003B5820" w:rsidRPr="001E2998" w:rsidRDefault="003B5820" w:rsidP="003B5820">
      <w:proofErr w:type="spellStart"/>
      <w:r>
        <w:t>Kelsen</w:t>
      </w:r>
      <w:proofErr w:type="spellEnd"/>
      <w:r>
        <w:t xml:space="preserve"> is clear: the law cannot be an end to itself, it is only a tool to achieve a desired politically determined end.</w:t>
      </w:r>
      <w:r>
        <w:rPr>
          <w:rStyle w:val="EndnoteReference"/>
        </w:rPr>
        <w:endnoteReference w:id="73"/>
      </w:r>
      <w:r>
        <w:t xml:space="preserve"> But in this case, our team of con artists are shrouding their desired political end, the permanent continuation of a state of war, in the language of law.  What they are asking for is the exact opposite of the usual legal maxim, </w:t>
      </w:r>
      <w:r>
        <w:rPr>
          <w:i/>
          <w:iCs/>
        </w:rPr>
        <w:t xml:space="preserve">ex facto </w:t>
      </w:r>
      <w:proofErr w:type="spellStart"/>
      <w:r>
        <w:rPr>
          <w:i/>
          <w:iCs/>
        </w:rPr>
        <w:t>oritur</w:t>
      </w:r>
      <w:proofErr w:type="spellEnd"/>
      <w:r>
        <w:rPr>
          <w:i/>
          <w:iCs/>
        </w:rPr>
        <w:t xml:space="preserve"> jus </w:t>
      </w:r>
      <w:r>
        <w:t xml:space="preserve">(the law is created by the facts), they want the law to create the facts in the world, a preposterous notion.  </w:t>
      </w:r>
      <w:proofErr w:type="spellStart"/>
      <w:r>
        <w:t>Who ever</w:t>
      </w:r>
      <w:proofErr w:type="spellEnd"/>
      <w:r>
        <w:t xml:space="preserve"> would proclaim </w:t>
      </w:r>
      <w:r>
        <w:rPr>
          <w:i/>
          <w:iCs/>
        </w:rPr>
        <w:t xml:space="preserve">ex jus </w:t>
      </w:r>
      <w:proofErr w:type="spellStart"/>
      <w:r>
        <w:rPr>
          <w:i/>
          <w:iCs/>
        </w:rPr>
        <w:t>oritur</w:t>
      </w:r>
      <w:proofErr w:type="spellEnd"/>
      <w:r>
        <w:rPr>
          <w:i/>
          <w:iCs/>
        </w:rPr>
        <w:t xml:space="preserve"> facto?</w:t>
      </w:r>
      <w:r>
        <w:rPr>
          <w:rStyle w:val="EndnoteReference"/>
          <w:i/>
          <w:iCs/>
        </w:rPr>
        <w:endnoteReference w:id="74"/>
      </w:r>
      <w:r>
        <w:rPr>
          <w:i/>
          <w:iCs/>
        </w:rPr>
        <w:t xml:space="preserve">  </w:t>
      </w:r>
      <w:r>
        <w:t>If it were presented that way, we would hope that no one would be willing to accept the notion, but here, the notion that theory ought to create fact and law should determine politics is accepted, again and again.</w:t>
      </w:r>
      <w:r>
        <w:rPr>
          <w:rStyle w:val="EndnoteReference"/>
        </w:rPr>
        <w:endnoteReference w:id="75"/>
      </w:r>
      <w:r>
        <w:t xml:space="preserve">  Applying a legal approach to a political situation was always a path to failure,</w:t>
      </w:r>
      <w:r>
        <w:rPr>
          <w:rStyle w:val="EndnoteReference"/>
        </w:rPr>
        <w:endnoteReference w:id="76"/>
      </w:r>
      <w:r>
        <w:t xml:space="preserve"> but failure in this case is success, as it ensures the continuation of the conflict.  Law is presented as the aim, and if it happens to produce ongoing conflict, it is a cost worth paying for so high an ideal.  It is no wonder that, late in the 1950 session, with defeat clearly at hand</w:t>
      </w:r>
      <w:r w:rsidRPr="000757EC">
        <w:t xml:space="preserve"> </w:t>
      </w:r>
      <w:r>
        <w:t>and the AHPC about to pass the Arab states entire wish-list, the Canadian delegate says “</w:t>
      </w:r>
      <w:r w:rsidRPr="001E2998">
        <w:t>However, when law ceased to be in harmony with reality, to apply the law literally could produce the greatest injustice.</w:t>
      </w:r>
      <w:r>
        <w:t>”</w:t>
      </w:r>
      <w:r>
        <w:rPr>
          <w:rStyle w:val="EndnoteReference"/>
        </w:rPr>
        <w:endnoteReference w:id="77"/>
      </w:r>
      <w:r w:rsidRPr="001E2998">
        <w:t xml:space="preserve">  </w:t>
      </w:r>
    </w:p>
    <w:p w14:paraId="0E66E6AE" w14:textId="77777777" w:rsidR="003B5820" w:rsidRDefault="003B5820" w:rsidP="003B5820">
      <w:r>
        <w:t xml:space="preserve">Most of the people in the room come from nation-states.  Nation-states are designed to serve the majority community, and this </w:t>
      </w:r>
      <w:proofErr w:type="gramStart"/>
      <w:r>
        <w:t>all the more</w:t>
      </w:r>
      <w:proofErr w:type="gramEnd"/>
      <w:r>
        <w:t xml:space="preserve"> so since the achievement of highly </w:t>
      </w:r>
      <w:r>
        <w:lastRenderedPageBreak/>
        <w:t>homogeneous states in Europe using the tools of mass murder during WWII and then mass expulsion after it.  Most of the delegates then would have been used to systems of municipal law in which some groups were given preference and others discriminated against.  More specifically, many of them lived under municipal legal codes, and certainly community laws like religious codes, that discriminated against Jews. Passing such measures into international law could only strengthen the morality and admissibility of them in domestic law as well.   Jews had a particular role in many societies and those codes were a support to enforce and maintain those roles.  Asking for recommendations and budgets that singled out Jews would have been an easy ask.  But the motions supported not just discrimination, but a specific view of the Jews as a uniquely malign element in the world body politic.  This too would have been a request that was supported by past knowledge and thus easy for the mark to believe.</w:t>
      </w:r>
      <w:r>
        <w:rPr>
          <w:rStyle w:val="EndnoteReference"/>
        </w:rPr>
        <w:endnoteReference w:id="78"/>
      </w:r>
      <w:r>
        <w:t xml:space="preserve">  Cultural continuity is a powerful incentive to action.</w:t>
      </w:r>
    </w:p>
    <w:p w14:paraId="1CAC5284" w14:textId="77777777" w:rsidR="003B5820" w:rsidRDefault="003B5820" w:rsidP="003B5820">
      <w:r>
        <w:t xml:space="preserve">Added to the notion that Jews were a separate, particular people </w:t>
      </w:r>
      <w:proofErr w:type="gramStart"/>
      <w:r>
        <w:t>was</w:t>
      </w:r>
      <w:proofErr w:type="gramEnd"/>
      <w:r>
        <w:t xml:space="preserve"> a new element, they were allied and perhaps even worse than the Nazis.</w:t>
      </w:r>
      <w:r>
        <w:rPr>
          <w:rStyle w:val="EndnoteReference"/>
        </w:rPr>
        <w:endnoteReference w:id="79"/>
      </w:r>
      <w:r>
        <w:t xml:space="preserve">  The utility of this connection is twofold.  The first is that the connection was made, after the war, between the activities of the German Nazis and that the Allies ethnic cleansings of Central and Eastern Europe, particularly those of ethnic Germans.  Here, however, only one people in the international society can still be tied to the Nazis, all else are given expiation.  Moreover, if there is a general guilt about the facts of the Shoah that came out at Nuremberg and subsequently, making the Jews capable of the same and worse as the Nazis means that they deserved the treatment that they got, just as earlier municipal and religious codes made the Jews responsible for, and deserving of, their treatment.  Here is another offer of expiation, innocence, and who could refuse such a thing?  As </w:t>
      </w:r>
      <w:proofErr w:type="spellStart"/>
      <w:r>
        <w:t>Cantril</w:t>
      </w:r>
      <w:proofErr w:type="spellEnd"/>
      <w:r>
        <w:t xml:space="preserve"> would have it: </w:t>
      </w:r>
      <w:r w:rsidRPr="00E978FD">
        <w:t>“The more the self, the me, is sustained and enhanced by a suggestion, the greater the likelihood that it will be accepted.”</w:t>
      </w:r>
      <w:r>
        <w:rPr>
          <w:rStyle w:val="EndnoteReference"/>
        </w:rPr>
        <w:endnoteReference w:id="80"/>
      </w:r>
      <w:r w:rsidRPr="00E978FD">
        <w:t xml:space="preserve">  </w:t>
      </w:r>
      <w:r>
        <w:t xml:space="preserve">A person is always thinking about themselves, and dupes </w:t>
      </w:r>
      <w:proofErr w:type="gramStart"/>
      <w:r>
        <w:t>all the more</w:t>
      </w:r>
      <w:proofErr w:type="gramEnd"/>
      <w:r>
        <w:t xml:space="preserve"> so.</w:t>
      </w:r>
      <w:r>
        <w:rPr>
          <w:rStyle w:val="EndnoteReference"/>
        </w:rPr>
        <w:endnoteReference w:id="81"/>
      </w:r>
    </w:p>
    <w:p w14:paraId="19E6595D" w14:textId="77777777" w:rsidR="003B5820" w:rsidRDefault="003B5820" w:rsidP="003B5820">
      <w:r>
        <w:t>Most of us come to believe at some point that the past is settled and cannot be undone, and we must deal with now, in the present as we and the situation are.  The Arab and Muslim states offer something more wonderful than the grimy present with its need of a messy political compromise: a chance to turn the clock back.</w:t>
      </w:r>
      <w:r>
        <w:rPr>
          <w:rStyle w:val="EndnoteReference"/>
        </w:rPr>
        <w:endnoteReference w:id="82"/>
      </w:r>
      <w:r>
        <w:t xml:space="preserve">  Which of us wouldn’t want to have that lover back again, and both of us again as young as we were?  Every instance of starting the history from the Balfour Declaration, and there are many, and rerunning the history of injustice with an eye to changing some wrong done then is the basic stuff of permanent grievance.  It is also, however, the stuff of seductive dreams, joyful dreams of reliving our own lives and the ability to correct and heal.  Who would refuse that?  </w:t>
      </w:r>
    </w:p>
    <w:p w14:paraId="34FEFC3C" w14:textId="77777777" w:rsidR="003B5820" w:rsidRDefault="003B5820" w:rsidP="003B5820">
      <w:r>
        <w:t>Facing a torrent of speeches from a whole team, how does the sucker respond?  Once he is won over, the answer is usually the same: with silence.  Little of the above is responded to, and the UNRWA funders, who are paying the bills, seem to have little to say.  The don’t question or respond to much besides to say that relief can’t go on forever, nor should it be expanded.</w:t>
      </w:r>
      <w:r>
        <w:rPr>
          <w:rStyle w:val="EndnoteReference"/>
        </w:rPr>
        <w:endnoteReference w:id="83"/>
      </w:r>
      <w:r>
        <w:t xml:space="preserve">  Their primary concern is to limit the bills and make the refugees self-</w:t>
      </w:r>
      <w:r>
        <w:lastRenderedPageBreak/>
        <w:t xml:space="preserve">sufficient.  There is no response at all the points about Jews as a unique evil, nor to tying them to the Nazis.  There is no response at all to the notion of UNGA resolutions, human rights and self-determination as law or treaty.  None of the moral language that precluded a political understanding of the </w:t>
      </w:r>
      <w:proofErr w:type="gramStart"/>
      <w:r>
        <w:t>problem</w:t>
      </w:r>
      <w:proofErr w:type="gramEnd"/>
      <w:r>
        <w:t xml:space="preserve"> and its messy compromise solutions was responded to.  Moral problems are about good and evil; they demand war.</w:t>
      </w:r>
      <w:r>
        <w:rPr>
          <w:rStyle w:val="EndnoteReference"/>
        </w:rPr>
        <w:endnoteReference w:id="84"/>
      </w:r>
      <w:r>
        <w:t xml:space="preserve"> Few are willing to say that a compromise will be needed on UNGA resolution 194, paragraph 11, the core of the Arab and Muslim argument.</w:t>
      </w:r>
      <w:r>
        <w:rPr>
          <w:rStyle w:val="EndnoteReference"/>
        </w:rPr>
        <w:endnoteReference w:id="85"/>
      </w:r>
      <w:r>
        <w:t xml:space="preserve">   Only three states bothered to state the most basic fact that the UNGA could only make recommendations.</w:t>
      </w:r>
      <w:r>
        <w:rPr>
          <w:rStyle w:val="EndnoteReference"/>
        </w:rPr>
        <w:endnoteReference w:id="86"/>
      </w:r>
      <w:r>
        <w:t xml:space="preserve">  Only two mention that the UN can’t actually force Israel to comply with UNGA resolutions.</w:t>
      </w:r>
      <w:r>
        <w:rPr>
          <w:rStyle w:val="EndnoteReference"/>
        </w:rPr>
        <w:endnoteReference w:id="87"/>
      </w:r>
      <w:r>
        <w:t xml:space="preserve">  No one mentions the nature of a treaty or their succession.  The only element of the above that gets much response is the notion of turning the clock back, which might show that it was simply a bridge too far for some, who felt the need to refute the possibility.</w:t>
      </w:r>
      <w:r>
        <w:rPr>
          <w:rStyle w:val="EndnoteReference"/>
        </w:rPr>
        <w:endnoteReference w:id="88"/>
      </w:r>
      <w:r>
        <w:t xml:space="preserve"> There is not a single instance of a state besides Israel rejecting the equation of Israel and Nazi Germany.  As might be expected, states are more willing to push back against the Arab and Muslim bloc in the first year of discussions, but then fall into passivity in the later years.</w:t>
      </w:r>
      <w:r>
        <w:rPr>
          <w:rStyle w:val="EndnoteReference"/>
        </w:rPr>
        <w:endnoteReference w:id="89"/>
      </w:r>
      <w:r>
        <w:t xml:space="preserve"> Also predictably, the lies from the team of con artists get more outlandish and the language harsher.   It might be imagined that it was difficult to get on the agenda and make responses to specific points because of limits on time and the tightness of the agenda.  This isn’t so, there were </w:t>
      </w:r>
      <w:proofErr w:type="gramStart"/>
      <w:r>
        <w:t>a number of</w:t>
      </w:r>
      <w:proofErr w:type="gramEnd"/>
      <w:r>
        <w:t xml:space="preserve"> discussions in real time when states wanted to have them.  When the Iraqi delegate called a UK diplomat and the Norwegian Secretary-General of the UN willing tools of Zionist propaganda, the UK and Norway delegates were able to respond right after, and the Iraqi delegate defended his point to them next.</w:t>
      </w:r>
      <w:r>
        <w:rPr>
          <w:rStyle w:val="EndnoteReference"/>
        </w:rPr>
        <w:endnoteReference w:id="90"/>
      </w:r>
      <w:r>
        <w:t xml:space="preserve">  The great mass of states didn’t respond because they didn’t want to.</w:t>
      </w:r>
      <w:r>
        <w:rPr>
          <w:rStyle w:val="EndnoteReference"/>
        </w:rPr>
        <w:endnoteReference w:id="91"/>
      </w:r>
      <w:r>
        <w:t xml:space="preserve">  This is just what </w:t>
      </w:r>
      <w:proofErr w:type="spellStart"/>
      <w:r>
        <w:t>Cantril</w:t>
      </w:r>
      <w:proofErr w:type="spellEnd"/>
      <w:r>
        <w:t xml:space="preserve"> would have expected; when a person is suggestable, they don’t question or push back, they merely accept the simple answers and slogans offered them.</w:t>
      </w:r>
      <w:r>
        <w:rPr>
          <w:rStyle w:val="EndnoteReference"/>
        </w:rPr>
        <w:endnoteReference w:id="92"/>
      </w:r>
      <w:r>
        <w:t xml:space="preserve"> When lies go unchallenged, they have the chance to become accepted myths, and if given the time, they will become truths.  </w:t>
      </w:r>
    </w:p>
    <w:p w14:paraId="351F4D29" w14:textId="77777777" w:rsidR="003B5820" w:rsidRDefault="003B5820" w:rsidP="003B5820">
      <w:r>
        <w:t>At some point, the sucker has bought in fully, and then begins the sad, illogical actions that they use to justify to themselves throwing good money after bad.  People need to assure themselves that they are doing the right thing.  In these meetings, much of that was a confusion over the agenda.  While it was called the Ad Hoc Political Committee, more often than not, politics wasn’t an acceptable topic, and people were cut off for broaching it.</w:t>
      </w:r>
      <w:r>
        <w:rPr>
          <w:rStyle w:val="EndnoteReference"/>
        </w:rPr>
        <w:endnoteReference w:id="93"/>
      </w:r>
      <w:r>
        <w:t xml:space="preserve">  States fall over themselves into the absurd, denying that they said what they said in a ridiculous attempt to stay in good graces with majority opinion.</w:t>
      </w:r>
      <w:r>
        <w:rPr>
          <w:rStyle w:val="EndnoteReference"/>
        </w:rPr>
        <w:endnoteReference w:id="94"/>
      </w:r>
      <w:r>
        <w:t xml:space="preserve"> It is common for states outside the Arab and Muslim bloc to make preposterously optimistic statements when they vote for yet another resolution that continues the policies that are keeping the conflict in place and are entirely different from policies that have settled refugees elsewhere.  Invariably, these look forward to a future of peace and brotherly love; probably, they are seeking to salvage their own self-regard.  We all protest too loudly that we are doing the right thing when we are anxious that we aren’t.  </w:t>
      </w:r>
    </w:p>
    <w:p w14:paraId="0CDFDCB0" w14:textId="77777777" w:rsidR="003B5820" w:rsidRDefault="003B5820" w:rsidP="003B5820">
      <w:r>
        <w:t xml:space="preserve">Perhaps Jessup and the rest simply didn’t think that this was a particularly important conflict; there is evidence for this as well.  In “Intermediacy,” written about the time he is attending these meetings, Jessup is concerned with finding a classification between peace </w:t>
      </w:r>
      <w:r>
        <w:lastRenderedPageBreak/>
        <w:t>and war that will acknowledge the existence of long-term feuds, usually based on conflicting ideas.   His model is the Cold War, then running too close to hot.  But at the time, the Cold War was only about seven years old, and, if the struggle over Palestine is dated to the Balfour Declaration, as it often is in the meetings, that conflict was already 36 old.  In aims and causes, it was also a better match to his description than the Cold War, but he never considers it.  Further, he even mentions cultural and religious elements that feed the conflict there but doesn’t make the connection.</w:t>
      </w:r>
      <w:r>
        <w:rPr>
          <w:rStyle w:val="EndnoteReference"/>
        </w:rPr>
        <w:endnoteReference w:id="95"/>
      </w:r>
      <w:r>
        <w:t xml:space="preserve"> The Arab side was willing to say publicly that the struggle might have to go on for a very long time</w:t>
      </w:r>
      <w:r>
        <w:rPr>
          <w:rStyle w:val="EndnoteReference"/>
        </w:rPr>
        <w:endnoteReference w:id="96"/>
      </w:r>
      <w:r>
        <w:t xml:space="preserve">, but this seems to be ignored.  </w:t>
      </w:r>
      <w:proofErr w:type="spellStart"/>
      <w:r>
        <w:t>Kelsen</w:t>
      </w:r>
      <w:proofErr w:type="spellEnd"/>
      <w:r>
        <w:t xml:space="preserve"> had already found that within UN law, there was a way for conflicts to go on forever,</w:t>
      </w:r>
      <w:r>
        <w:rPr>
          <w:rStyle w:val="EndnoteReference"/>
        </w:rPr>
        <w:endnoteReference w:id="97"/>
      </w:r>
      <w:r>
        <w:t xml:space="preserve"> and the element was certainly at play in the </w:t>
      </w:r>
      <w:proofErr w:type="spellStart"/>
      <w:r>
        <w:t>mid east</w:t>
      </w:r>
      <w:proofErr w:type="spellEnd"/>
      <w:r>
        <w:t xml:space="preserve"> conflict, but Jessup passes over this one as well.  In not making obvious connections, he might be signaling that he just doesn’t care.</w:t>
      </w:r>
    </w:p>
    <w:p w14:paraId="032207A9" w14:textId="77777777" w:rsidR="003B5820" w:rsidRDefault="003B5820" w:rsidP="003B5820">
      <w:r>
        <w:t xml:space="preserve">There is a special form of innocence here: to be taken by a sharpie is itself a declaration of innocence.  After all, who but the innocent can be fleeced?  If you are the sort of person who is guarded from a swindle, it is possible that you are a swindler yourself, for who else would consider such a thing?  In this way, the bilked states can wear it like a badge of honor: ours is the purest of innocence, the sacrificial kind.  But then, did they even know that they had been hoodwinked?  At some point in most cons, the rube wakes up and finds that they have been taken to the cleaners; the bank account is empty, all the money is gone, and the truth of the scam becomes painfully clear.  There is no such reckoning in this case.  Yes, the donor states still have to pay the bills to support the refugees into perpetuity, but if the scam was to ensure that the conflict goes on and war will pile up on war, well, the wars are far away and the people doing the fighting and dying are all foreigners, and some of them, mind you, are Jews, so they might well deserve it.  It is possible that the gouged haven’t yet noticed.  </w:t>
      </w:r>
    </w:p>
    <w:p w14:paraId="4B8C88F4" w14:textId="77777777" w:rsidR="003B5820" w:rsidRDefault="003B5820" w:rsidP="003B5820">
      <w:r>
        <w:t xml:space="preserve">Our anonymous con man is clear: </w:t>
      </w:r>
      <w:r w:rsidRPr="00FE1E81">
        <w:t>“It is the safety of any con game that your sucker generally is your accomplice.”</w:t>
      </w:r>
      <w:r>
        <w:rPr>
          <w:rStyle w:val="EndnoteReference"/>
        </w:rPr>
        <w:endnoteReference w:id="98"/>
      </w:r>
      <w:r>
        <w:t xml:space="preserve">  This is so apparent to the sharpie that he only bothers to say it once, but it should be shocking to those of us who believe ourselves immune.  It is, of course, implicit in the social science: people need meaning, structure, stories that give definition, self-regard, and much more.  What they don’t need is for any of it to be true.</w:t>
      </w:r>
      <w:r>
        <w:rPr>
          <w:rStyle w:val="EndnoteReference"/>
        </w:rPr>
        <w:endnoteReference w:id="99"/>
      </w:r>
      <w:r>
        <w:t xml:space="preserve"> A chiseler never needs a strong, believable story, what they need is a story that is well-matched to the patsy.  If the con artist has matched the story to the mark, the mark can be counted on to do the hard work of making the most preposterous swill credible.  How else can a four-flusher make every busted hand pay?</w:t>
      </w:r>
    </w:p>
    <w:p w14:paraId="696ED913" w14:textId="77777777" w:rsidR="003B5820" w:rsidRPr="00297133" w:rsidRDefault="003B5820" w:rsidP="003B5820">
      <w:pPr>
        <w:rPr>
          <w:b/>
          <w:bCs/>
        </w:rPr>
      </w:pPr>
      <w:r>
        <w:rPr>
          <w:b/>
          <w:bCs/>
        </w:rPr>
        <w:t>The Comfort of Community</w:t>
      </w:r>
    </w:p>
    <w:p w14:paraId="5C8A95FA" w14:textId="77777777" w:rsidR="003B5820" w:rsidRPr="00297133" w:rsidRDefault="003B5820" w:rsidP="003B5820">
      <w:r>
        <w:t xml:space="preserve"> </w:t>
      </w:r>
      <w:r w:rsidRPr="00297133">
        <w:t xml:space="preserve">Seeking to understand what </w:t>
      </w:r>
      <w:proofErr w:type="gramStart"/>
      <w:r w:rsidRPr="00297133">
        <w:t xml:space="preserve">was already brutally apparent-the abject failure of </w:t>
      </w:r>
      <w:r>
        <w:t>international law</w:t>
      </w:r>
      <w:proofErr w:type="gramEnd"/>
      <w:r w:rsidRPr="00297133">
        <w:t xml:space="preserve"> to control states’ actions</w:t>
      </w:r>
      <w:r>
        <w:t xml:space="preserve"> </w:t>
      </w:r>
      <w:r w:rsidRPr="00297133">
        <w:t>-</w:t>
      </w:r>
      <w:r>
        <w:t xml:space="preserve"> </w:t>
      </w:r>
      <w:r w:rsidRPr="00297133">
        <w:t xml:space="preserve">legal scholar Georg </w:t>
      </w:r>
      <w:proofErr w:type="spellStart"/>
      <w:r w:rsidRPr="00297133">
        <w:t>Schwarzenberger</w:t>
      </w:r>
      <w:proofErr w:type="spellEnd"/>
      <w:r w:rsidRPr="00297133">
        <w:t xml:space="preserve"> </w:t>
      </w:r>
      <w:r>
        <w:t xml:space="preserve">carefully </w:t>
      </w:r>
      <w:r w:rsidRPr="00297133">
        <w:t>divided the law</w:t>
      </w:r>
      <w:r>
        <w:t xml:space="preserve"> into different parts</w:t>
      </w:r>
      <w:r w:rsidRPr="00297133">
        <w:t xml:space="preserve"> and then found, not so surprisingly, that we had deluded ourselves as to what </w:t>
      </w:r>
      <w:r>
        <w:t xml:space="preserve">it </w:t>
      </w:r>
      <w:r w:rsidRPr="00297133">
        <w:t>might reasonably be expected to accomplish.  He realized that there are two very different forms of law: that for communities and that for societies.</w:t>
      </w:r>
      <w:r w:rsidRPr="00297133">
        <w:rPr>
          <w:vertAlign w:val="superscript"/>
        </w:rPr>
        <w:endnoteReference w:id="100"/>
      </w:r>
      <w:r w:rsidRPr="00297133">
        <w:t xml:space="preserve">  “In </w:t>
      </w:r>
      <w:r w:rsidRPr="00297133">
        <w:lastRenderedPageBreak/>
        <w:t>accordance with this established practice, a community may be defined as a social group in which behavior is based on the solidarity of members, a cohesive force without which the community cannot exist.”</w:t>
      </w:r>
      <w:r w:rsidRPr="00297133">
        <w:rPr>
          <w:vertAlign w:val="superscript"/>
        </w:rPr>
        <w:endnoteReference w:id="101"/>
      </w:r>
      <w:r w:rsidRPr="00297133">
        <w:t xml:space="preserve">  The members of a community share values, norms, and aims, one of which is the continuing existence of the community.  A society is entirely different, as the members have different, often conflicting, aims.  “Whereas the members of a community are united in spite of their individual existence, the members of a society are isolated in spite of their </w:t>
      </w:r>
      <w:proofErr w:type="gramStart"/>
      <w:r w:rsidRPr="00297133">
        <w:t>association.“</w:t>
      </w:r>
      <w:proofErr w:type="gramEnd"/>
      <w:r w:rsidRPr="00297133">
        <w:rPr>
          <w:vertAlign w:val="superscript"/>
        </w:rPr>
        <w:endnoteReference w:id="102"/>
      </w:r>
      <w:r w:rsidRPr="00297133">
        <w:t xml:space="preserve">  These are such different groupings that it ought to go without saying that law must be different for them.  In a community, law “…generally formalizes only customary behavior, which would be observed even without its existence; it defines the relations between members which the majority regards as substantially sound and adequate…”  In contrast, “Its [society law’s] purpose is to prevent the </w:t>
      </w:r>
      <w:r w:rsidRPr="00297133">
        <w:rPr>
          <w:i/>
        </w:rPr>
        <w:t xml:space="preserve">bellum omnium contra omnes, </w:t>
      </w:r>
      <w:r w:rsidRPr="00297133">
        <w:rPr>
          <w:iCs/>
        </w:rPr>
        <w:t xml:space="preserve">[war of all against all] </w:t>
      </w:r>
      <w:r w:rsidRPr="00297133">
        <w:t>or to make limited cooperation possible between individuals who, being anxious to maintain and improve their own positions and seeking primarily their own advantage,…”</w:t>
      </w:r>
      <w:r w:rsidRPr="00297133">
        <w:rPr>
          <w:vertAlign w:val="superscript"/>
        </w:rPr>
        <w:endnoteReference w:id="103"/>
      </w:r>
      <w:r w:rsidRPr="00297133">
        <w:t xml:space="preserve">  Because the members of a community generally desire to follow the laws, it is possible to imagine that a community can exist without a superior authority enforcing the law.  It is not possible to imagine this of society law, as something must force the disparate, self-interested members to obey the law.  It is just this superior authority that </w:t>
      </w:r>
      <w:r>
        <w:t>international law</w:t>
      </w:r>
      <w:r w:rsidRPr="00297133">
        <w:t xml:space="preserve"> lacks.  Could they be more different?</w:t>
      </w:r>
    </w:p>
    <w:p w14:paraId="4BA87D1F" w14:textId="77777777" w:rsidR="003B5820" w:rsidRPr="00297133" w:rsidRDefault="003B5820" w:rsidP="003B5820">
      <w:r w:rsidRPr="00297133">
        <w:t xml:space="preserve">The roots of </w:t>
      </w:r>
      <w:r>
        <w:t>international law</w:t>
      </w:r>
      <w:r w:rsidRPr="00297133">
        <w:t xml:space="preserve"> are in Catholic Europe, which one can consider a community of values and aims, though that didn’t keep them from warring with each other.  After the Reformation, and its series of appalling wars, </w:t>
      </w:r>
      <w:r>
        <w:t>international law</w:t>
      </w:r>
      <w:r w:rsidRPr="00297133">
        <w:t xml:space="preserve"> had to accommodate </w:t>
      </w:r>
      <w:proofErr w:type="gramStart"/>
      <w:r w:rsidRPr="00297133">
        <w:t>all of</w:t>
      </w:r>
      <w:proofErr w:type="gramEnd"/>
      <w:r w:rsidRPr="00297133">
        <w:t xml:space="preserve"> European Christendom, which is a more disparate group, and probably not a community of aims and values, though still a geographical community.  By the time of the League of Nations it was entirely heterogenous, and proudly so.  There were all cultures, religions, civilizations with all manner of aims</w:t>
      </w:r>
      <w:r>
        <w:t>, norms,</w:t>
      </w:r>
      <w:r w:rsidRPr="00297133">
        <w:t xml:space="preserve"> and values.  Certainly, they were often in conflict with each other, as members of a society are.  To accommodate this, positive law, conscientiously value-free, became the standard.</w:t>
      </w:r>
      <w:r w:rsidRPr="00297133">
        <w:rPr>
          <w:vertAlign w:val="superscript"/>
        </w:rPr>
        <w:endnoteReference w:id="104"/>
      </w:r>
      <w:r w:rsidRPr="00297133">
        <w:t xml:space="preserve">  Whatever the members of the society agreed to was legitimate law, irrespective of values, aims, and certainly morality.  This is a long way from its origins in a single creed with a single authority figure, appointed by </w:t>
      </w:r>
      <w:proofErr w:type="gramStart"/>
      <w:r w:rsidRPr="00297133">
        <w:t>god</w:t>
      </w:r>
      <w:proofErr w:type="gramEnd"/>
      <w:r w:rsidRPr="00297133">
        <w:t xml:space="preserve"> to declare the correct path.  No wonder that “This trend leads Sir Alfred Zimmern [a legal scholar] to conclude that ‘positive international law, so called, has no claim to the name </w:t>
      </w:r>
      <w:r w:rsidRPr="00297133">
        <w:rPr>
          <w:bCs/>
        </w:rPr>
        <w:t xml:space="preserve">of </w:t>
      </w:r>
      <w:r w:rsidRPr="00297133">
        <w:t>law…’”</w:t>
      </w:r>
      <w:r w:rsidRPr="00297133">
        <w:rPr>
          <w:vertAlign w:val="superscript"/>
        </w:rPr>
        <w:endnoteReference w:id="105"/>
      </w:r>
    </w:p>
    <w:p w14:paraId="19D4FE48" w14:textId="77777777" w:rsidR="003B5820" w:rsidRPr="00297133" w:rsidRDefault="003B5820" w:rsidP="003B5820">
      <w:r w:rsidRPr="00297133">
        <w:t>Law which had started in a specific religious and cultural context and still carried some of those values was now expected to be accepted by people who didn’t share this basis.  How and why should or would they?</w:t>
      </w:r>
      <w:r w:rsidRPr="00297133">
        <w:rPr>
          <w:vertAlign w:val="superscript"/>
        </w:rPr>
        <w:endnoteReference w:id="106"/>
      </w:r>
      <w:r w:rsidRPr="00297133">
        <w:t xml:space="preserve">   Yet, we still believe that </w:t>
      </w:r>
      <w:r>
        <w:t>international law</w:t>
      </w:r>
      <w:r w:rsidRPr="00297133">
        <w:t xml:space="preserve"> is community law and can achieve the results of community law, some 500 years after it had ceased to be.  Against all evidence, we hold to those pretty stories of a bygone age and imagine they are still relevant; no wonder we are suckered so easily.  Our belief that the society of nations is a community is like our fervent belief that we can turn back the clock and right the wrongs we committed against those we love.</w:t>
      </w:r>
    </w:p>
    <w:p w14:paraId="1B2BD8D7" w14:textId="77777777" w:rsidR="003B5820" w:rsidRPr="00297133" w:rsidRDefault="003B5820" w:rsidP="003B5820">
      <w:r w:rsidRPr="00297133">
        <w:lastRenderedPageBreak/>
        <w:t xml:space="preserve">We understand that the municipal law we live under is society law, and so we have no problem accepting that some people, for their own ends, will use the law against itself.  When faced with evidence that this might also be the case in </w:t>
      </w:r>
      <w:r>
        <w:t>international law</w:t>
      </w:r>
      <w:r w:rsidRPr="00297133">
        <w:t xml:space="preserve"> however, it is rejected.   The evidence was certainly there: German actions as well as writings and theory were all clear that they would use law for their own ends, and those ends were the domination of others.  The Nazi understanding of </w:t>
      </w:r>
      <w:r>
        <w:t>international law</w:t>
      </w:r>
      <w:r w:rsidRPr="00297133">
        <w:t xml:space="preserve"> is surprisingly close to </w:t>
      </w:r>
      <w:proofErr w:type="spellStart"/>
      <w:r w:rsidRPr="00297133">
        <w:t>Schwarzenberger’s</w:t>
      </w:r>
      <w:proofErr w:type="spellEnd"/>
      <w:r w:rsidRPr="00297133">
        <w:t>.  Where he has ‘society’ and ‘community’ they use</w:t>
      </w:r>
      <w:r w:rsidRPr="00297133">
        <w:rPr>
          <w:i/>
        </w:rPr>
        <w:t xml:space="preserve"> </w:t>
      </w:r>
      <w:r w:rsidRPr="00297133">
        <w:rPr>
          <w:i/>
          <w:iCs/>
        </w:rPr>
        <w:t xml:space="preserve">Gemeinschaft </w:t>
      </w:r>
      <w:r w:rsidRPr="00297133">
        <w:t>and</w:t>
      </w:r>
      <w:r w:rsidRPr="00297133">
        <w:rPr>
          <w:i/>
          <w:iCs/>
        </w:rPr>
        <w:t xml:space="preserve"> Gesellschaft, </w:t>
      </w:r>
      <w:r w:rsidRPr="00297133">
        <w:t>but they mean the same thing and are used in the same manner.</w:t>
      </w:r>
      <w:r w:rsidRPr="00297133">
        <w:rPr>
          <w:vertAlign w:val="superscript"/>
        </w:rPr>
        <w:endnoteReference w:id="107"/>
      </w:r>
      <w:r w:rsidRPr="00297133">
        <w:t xml:space="preserve">  Being a Jewish refugee, born and educated in Germany, </w:t>
      </w:r>
      <w:proofErr w:type="spellStart"/>
      <w:r w:rsidRPr="00297133">
        <w:t>Schwarzenberger</w:t>
      </w:r>
      <w:proofErr w:type="spellEnd"/>
      <w:r w:rsidRPr="00297133">
        <w:t xml:space="preserve"> probably used them in his first draft.  In both cases, the community law is derived from common community values and aims, and every community will develop a set of laws that is specific to it and different from the others.  In this way, it is a conception close to a non-universal natural law.</w:t>
      </w:r>
      <w:r w:rsidRPr="00297133">
        <w:rPr>
          <w:vertAlign w:val="superscript"/>
        </w:rPr>
        <w:endnoteReference w:id="108"/>
      </w:r>
      <w:r w:rsidRPr="00297133">
        <w:t xml:space="preserve">  Both agree that international society is naturally in a state of conflict, but while </w:t>
      </w:r>
      <w:proofErr w:type="spellStart"/>
      <w:r w:rsidRPr="00297133">
        <w:t>Schwarzenberger</w:t>
      </w:r>
      <w:proofErr w:type="spellEnd"/>
      <w:r w:rsidRPr="00297133">
        <w:t xml:space="preserve"> believed that </w:t>
      </w:r>
      <w:r>
        <w:t>international law</w:t>
      </w:r>
      <w:r w:rsidRPr="00297133">
        <w:t xml:space="preserve"> would control the conflict, however ineffectually, the Nazi view is “</w:t>
      </w:r>
      <w:proofErr w:type="gramStart"/>
      <w:r w:rsidRPr="00297133">
        <w:t>International  law</w:t>
      </w:r>
      <w:proofErr w:type="gramEnd"/>
      <w:r w:rsidRPr="00297133">
        <w:t xml:space="preserve">  takes from no nation its right to fight for self-assertion.”</w:t>
      </w:r>
      <w:r w:rsidRPr="00297133">
        <w:rPr>
          <w:vertAlign w:val="superscript"/>
        </w:rPr>
        <w:endnoteReference w:id="109"/>
      </w:r>
      <w:r w:rsidRPr="00297133">
        <w:t xml:space="preserve"> For this last word, read aggression.   Because </w:t>
      </w:r>
      <w:r>
        <w:t>international law</w:t>
      </w:r>
      <w:r w:rsidRPr="00297133">
        <w:t xml:space="preserve"> must allow for all national needs, it has few roles and is mostly useless.</w:t>
      </w:r>
      <w:r w:rsidRPr="00297133">
        <w:rPr>
          <w:vertAlign w:val="superscript"/>
        </w:rPr>
        <w:endnoteReference w:id="110"/>
      </w:r>
      <w:r w:rsidRPr="00297133">
        <w:t xml:space="preserve">  The Germans were clear and open about their aims and means, and if European states signed treaties with them, the best parallel is a </w:t>
      </w:r>
      <w:r>
        <w:t>con artist</w:t>
      </w:r>
      <w:r w:rsidRPr="00297133">
        <w:t xml:space="preserve"> who leads the mark down the garden path by telling them that there will be nothing good in it for them, just lack of faith, violence and degradation.</w:t>
      </w:r>
      <w:r w:rsidRPr="00297133">
        <w:rPr>
          <w:vertAlign w:val="superscript"/>
        </w:rPr>
        <w:endnoteReference w:id="111"/>
      </w:r>
      <w:r w:rsidRPr="00297133">
        <w:t xml:space="preserve">  Any yet they were hoodooed, bamboozled and snookered nonetheless.</w:t>
      </w:r>
    </w:p>
    <w:p w14:paraId="7C2A6AEC" w14:textId="77777777" w:rsidR="003B5820" w:rsidRDefault="003B5820" w:rsidP="003B5820">
      <w:r w:rsidRPr="00297133">
        <w:t xml:space="preserve">We know from </w:t>
      </w:r>
      <w:proofErr w:type="spellStart"/>
      <w:r w:rsidRPr="00297133">
        <w:t>Kelsen</w:t>
      </w:r>
      <w:proofErr w:type="spellEnd"/>
      <w:r w:rsidRPr="00297133">
        <w:t xml:space="preserve"> that in the UN, calls for justice and right are not legal arguments; they are political.  But the calls for justice are so pervasive in these meetings, and the human need for a sense of justice so powerful that they must have had influence.  We might understand this by following </w:t>
      </w:r>
      <w:proofErr w:type="spellStart"/>
      <w:r w:rsidRPr="00297133">
        <w:t>Schwarzenberger’s</w:t>
      </w:r>
      <w:proofErr w:type="spellEnd"/>
      <w:r w:rsidRPr="00297133">
        <w:t xml:space="preserve"> logic: they aren’t an appeal to the society of nations, but rather to a subset of them, a community of nations, who are still united by aims and values</w:t>
      </w:r>
      <w:r>
        <w:t xml:space="preserve"> and therefore also a concept of justice</w:t>
      </w:r>
      <w:r w:rsidRPr="00297133">
        <w:t xml:space="preserve">.  Most of the UN approved the calls of the Arab and Muslim states, so whatever community this is, it is certainly not bound by common religion or civilization.  It transcended government type, stage of development, region, environment, history, and allied colonized with colonists.  What a mysterious and powerful value this must be, to bring unity to such a broad alliance.  The only possible candidate is a strong desire to suppress the power of Jews.  Here is a common value that brings them all together.   All of Christendom certainly had it from its founding, and Islam the same, though in a different manner.  The civilizations they created shared this value and practiced it over time with some real success.  The prospect of an independent Jewish state where Jews couldn’t be controlled by municipal law must have been frightening, given the myths of unnatural Jewish power. </w:t>
      </w:r>
    </w:p>
    <w:p w14:paraId="0254D022" w14:textId="77777777" w:rsidR="003B5820" w:rsidRDefault="003B5820" w:rsidP="003B5820">
      <w:r>
        <w:t xml:space="preserve">The idea of a universal human community was unachievable then and we haven’t gotten there yet.  Aims, societies, and values are too varied for that.  But even if we thought it possible, all community legal codes not only define the community in a positive way, who is included, but in the negative as well, who is out.  That cannot be done in a universal community.  There are also downsides to community law; because the individual is so </w:t>
      </w:r>
      <w:r>
        <w:lastRenderedPageBreak/>
        <w:t xml:space="preserve">identified and enmeshed with their community, an attack on the community must be answered by the individual. Feuds are more common between communities.  The chance of conflict goes up in other ways as well, as community law has an emotional component.  Gott’s article on Nazi German law mentions honor eleven times, and respect a few more, but it is a generally accepted notion that communities with a high value on honor tend to be more violent.  Human rights, that is, the rights of an individual against their own society, make no sense in community law.  Society law is more flexible, as it assumes internal conflict; community law is more brittle because it assumes that all are in assent.  If all these lies were swallowed in the name of maintaining community law and a clear sense of who is in and who is out of the community, that is a strong, honorable motivation.  </w:t>
      </w:r>
    </w:p>
    <w:p w14:paraId="0AC14727" w14:textId="77777777" w:rsidR="003B5820" w:rsidRDefault="003B5820" w:rsidP="003B5820">
      <w:r w:rsidRPr="00297133">
        <w:t>Perhaps now we can acquit Jessup from the obnoxious accusation that he was just another pathetic hayseed patsy, rolled and gulled at the fair,</w:t>
      </w:r>
      <w:r>
        <w:rPr>
          <w:rStyle w:val="EndnoteReference"/>
        </w:rPr>
        <w:endnoteReference w:id="112"/>
      </w:r>
      <w:r w:rsidRPr="00297133">
        <w:t xml:space="preserve"> and then spat out naked with his pockets empty.  If the states that funded the refugees and accepted that the conflict must go on until they were able to return to their homes in Israel wanted the conflict to continue, then there is no scam, just simple, honorable fee for service.  The service offered is the suppression of Jewish power by locking them into a long, continuous war, 75 years and counting now, that will also have the effect, through years of insecurity, of making Jews look like our stereotypes of them so that we can feel good about </w:t>
      </w:r>
      <w:r>
        <w:t xml:space="preserve">our treatment of </w:t>
      </w:r>
      <w:r w:rsidRPr="00297133">
        <w:t xml:space="preserve">them.  </w:t>
      </w:r>
      <w:r>
        <w:t xml:space="preserve">If they are the people that match our stories of them, then we are connected to the continuity of our cultures, religions and civilizations, comforted by the knowledge that we always were right about ‘those people.’  </w:t>
      </w:r>
      <w:r w:rsidRPr="00297133">
        <w:t xml:space="preserve">If they are the </w:t>
      </w:r>
      <w:proofErr w:type="gramStart"/>
      <w:r w:rsidRPr="00297133">
        <w:t>people</w:t>
      </w:r>
      <w:proofErr w:type="gramEnd"/>
      <w:r w:rsidRPr="00297133">
        <w:t xml:space="preserve"> we expect them to be, then surely they deserve the treatment that they get, and the rest of us can find expiation for an ugly history. </w:t>
      </w:r>
    </w:p>
    <w:p w14:paraId="33D34963" w14:textId="77777777" w:rsidR="003B5820" w:rsidRDefault="003B5820" w:rsidP="003B5820">
      <w:r>
        <w:t>Some 350 years before the AHPC meetings, Shakespeare wrote</w:t>
      </w:r>
      <w:r w:rsidRPr="00297133">
        <w:t xml:space="preserve"> </w:t>
      </w:r>
      <w:r>
        <w:t xml:space="preserve">“Shylock.”  In one of the most famous speeches, Act 3, Scene 1, Shylock pleads not just for a common humanity, but the right of Jews to draw the same conclusions from the lessons of life that others can.  It is the “If you prick us, do we not bleed?  If you tickle us, do we not laugh?” speech.  By the end of the play, Shylock has been bested and is bereft; the answer to his question of a common humanity and the right to draw common lessons is no.  For the participating states at the meetings, the answer was still no, separation and isolation must </w:t>
      </w:r>
      <w:proofErr w:type="gramStart"/>
      <w:r>
        <w:t>remain;  Jews</w:t>
      </w:r>
      <w:proofErr w:type="gramEnd"/>
      <w:r>
        <w:t xml:space="preserve"> weren’t part of the community.  </w:t>
      </w:r>
    </w:p>
    <w:p w14:paraId="4BB3177F" w14:textId="77777777" w:rsidR="003B5820" w:rsidRDefault="003B5820" w:rsidP="003B5820"/>
    <w:p w14:paraId="4788EBEB" w14:textId="19FCCF72" w:rsidR="00BA49C8" w:rsidRDefault="00BA49C8"/>
    <w:sectPr w:rsidR="00BA49C8" w:rsidSect="003B5820">
      <w:footerReference w:type="even" r:id="rId6"/>
      <w:footerReference w:type="default" r:id="rId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F12D30" w14:textId="77777777" w:rsidR="00C83561" w:rsidRDefault="00C83561" w:rsidP="003B5820">
      <w:pPr>
        <w:spacing w:before="0" w:after="0"/>
      </w:pPr>
      <w:r>
        <w:separator/>
      </w:r>
    </w:p>
  </w:endnote>
  <w:endnote w:type="continuationSeparator" w:id="0">
    <w:p w14:paraId="0A77AD6C" w14:textId="77777777" w:rsidR="00C83561" w:rsidRDefault="00C83561" w:rsidP="003B5820">
      <w:pPr>
        <w:spacing w:before="0" w:after="0"/>
      </w:pPr>
      <w:r>
        <w:continuationSeparator/>
      </w:r>
    </w:p>
  </w:endnote>
  <w:endnote w:id="1">
    <w:p w14:paraId="30994B1A" w14:textId="77777777" w:rsidR="003B5820" w:rsidRDefault="003B5820" w:rsidP="003B5820">
      <w:pPr>
        <w:pStyle w:val="EndnoteText"/>
      </w:pPr>
      <w:r>
        <w:rPr>
          <w:rStyle w:val="EndnoteReference"/>
        </w:rPr>
        <w:endnoteRef/>
      </w:r>
      <w:r>
        <w:t xml:space="preserve"> All the summary reports for the Ad Hoc Political Committee are available from the UN Library.  It is often best to search just for the session or year and month, as searching by a specific meeting number often fails.  From here on, all quotes will be from the Ad Hoc committee, so that won’t be included.  Citation will start with the year, followed by an M for meeting with the meeting number, then the country speaking and the number of the paragraph the quote is found in.  This quote is 1950, M 66: Pakistan, 72.  Some years the session runs into the next year, in which case 1950 is Session 5, 1951 is Session 6, and so on.  </w:t>
      </w:r>
    </w:p>
  </w:endnote>
  <w:endnote w:id="2">
    <w:p w14:paraId="03E2EC28" w14:textId="77777777" w:rsidR="003B5820" w:rsidRPr="00113694" w:rsidRDefault="003B5820" w:rsidP="003B5820">
      <w:pPr>
        <w:pStyle w:val="EndnoteText"/>
      </w:pPr>
      <w:r>
        <w:rPr>
          <w:rStyle w:val="EndnoteReference"/>
        </w:rPr>
        <w:endnoteRef/>
      </w:r>
      <w:r>
        <w:t xml:space="preserve"> </w:t>
      </w:r>
      <w:r w:rsidRPr="00644C12">
        <w:t>Quincy Wright</w:t>
      </w:r>
      <w:r>
        <w:t>, “</w:t>
      </w:r>
      <w:r w:rsidRPr="00644C12">
        <w:t>The Munich Settlement and International Law</w:t>
      </w:r>
      <w:r>
        <w:t xml:space="preserve">,” </w:t>
      </w:r>
      <w:r w:rsidRPr="00644C12">
        <w:rPr>
          <w:i/>
        </w:rPr>
        <w:t xml:space="preserve">The American Journal of International Law </w:t>
      </w:r>
      <w:r w:rsidRPr="00644C12">
        <w:t>33, No. 1 (Jan. 1939)</w:t>
      </w:r>
      <w:r>
        <w:t xml:space="preserve">.  His judgment is that not only was it illegal but that far from appeasing Germany, would make war more likely.  The journal </w:t>
      </w:r>
      <w:r>
        <w:rPr>
          <w:i/>
          <w:iCs/>
        </w:rPr>
        <w:t xml:space="preserve">New Commonwealth Quarterly </w:t>
      </w:r>
      <w:r>
        <w:t xml:space="preserve">gave over its vol. 4, no. 3, December 1938 issue to the Munich Agreement.  While there are one or two authors in the group who saw some merit in Germany’s position, the overall tone and in particular the editors’ introduction is unsparing in calling the UK and French position illegal, self-defeating and short-sighted.  </w:t>
      </w:r>
    </w:p>
  </w:endnote>
  <w:endnote w:id="3">
    <w:p w14:paraId="338A677D" w14:textId="77777777" w:rsidR="003B5820" w:rsidRDefault="003B5820" w:rsidP="003B5820">
      <w:pPr>
        <w:pStyle w:val="EndnoteText"/>
      </w:pPr>
      <w:r>
        <w:rPr>
          <w:rStyle w:val="EndnoteReference"/>
        </w:rPr>
        <w:endnoteRef/>
      </w:r>
      <w:r>
        <w:t xml:space="preserve"> For a contemporary understanding of the agent and the state, see </w:t>
      </w:r>
      <w:r w:rsidRPr="00C52B1E">
        <w:t>Hans Kelsen</w:t>
      </w:r>
      <w:r>
        <w:t>, “</w:t>
      </w:r>
      <w:r w:rsidRPr="00C52B1E">
        <w:t>Collective and Individual Responsibility in International Law with Particular Regard to the Punishment of War Criminals</w:t>
      </w:r>
      <w:r>
        <w:t xml:space="preserve">,” </w:t>
      </w:r>
      <w:r w:rsidRPr="00C52B1E">
        <w:rPr>
          <w:i/>
        </w:rPr>
        <w:t xml:space="preserve">California Law Review </w:t>
      </w:r>
      <w:r w:rsidRPr="00C52B1E">
        <w:t>31, No. 5 (Dec., 1943),</w:t>
      </w:r>
      <w:r>
        <w:t xml:space="preserve"> particularly </w:t>
      </w:r>
      <w:r w:rsidRPr="00C52B1E">
        <w:t xml:space="preserve"> pp. </w:t>
      </w:r>
      <w:r>
        <w:t xml:space="preserve"> 539-41.  Also </w:t>
      </w:r>
      <w:r w:rsidRPr="001B0C3E">
        <w:t>Quincy Wright</w:t>
      </w:r>
      <w:r>
        <w:t xml:space="preserve">, “War Criminals,” </w:t>
      </w:r>
      <w:r w:rsidRPr="001B0C3E">
        <w:rPr>
          <w:i/>
        </w:rPr>
        <w:t xml:space="preserve">The American Journal of International Law </w:t>
      </w:r>
      <w:r w:rsidRPr="001B0C3E">
        <w:t xml:space="preserve">39, No. 2 (Apr., 1945), </w:t>
      </w:r>
      <w:r>
        <w:t xml:space="preserve">particularly </w:t>
      </w:r>
      <w:r w:rsidRPr="001B0C3E">
        <w:t>pp. 2</w:t>
      </w:r>
      <w:r>
        <w:t>69, 275.  The literature on this is large.  Suffice to say that delegates to the UN are agents of their states.</w:t>
      </w:r>
    </w:p>
  </w:endnote>
  <w:endnote w:id="4">
    <w:p w14:paraId="5FB0FFA6" w14:textId="77777777" w:rsidR="003B5820" w:rsidRPr="00763AD9" w:rsidRDefault="003B5820" w:rsidP="003B5820">
      <w:pPr>
        <w:pStyle w:val="EndnoteText"/>
      </w:pPr>
      <w:r>
        <w:rPr>
          <w:rStyle w:val="EndnoteReference"/>
        </w:rPr>
        <w:endnoteRef/>
      </w:r>
      <w:r>
        <w:t xml:space="preserve"> Our guide to how they understood the issues at the time is </w:t>
      </w:r>
      <w:r w:rsidRPr="00C3469A">
        <w:t>Hadley</w:t>
      </w:r>
      <w:r>
        <w:t xml:space="preserve"> </w:t>
      </w:r>
      <w:r w:rsidRPr="00C3469A">
        <w:t xml:space="preserve">Cantril, </w:t>
      </w:r>
      <w:r w:rsidRPr="00C3469A">
        <w:rPr>
          <w:i/>
          <w:iCs/>
        </w:rPr>
        <w:t xml:space="preserve">The Psychology of Social Movements, </w:t>
      </w:r>
      <w:r w:rsidRPr="00C3469A">
        <w:t>New York: John Wiley and Sons, Inc., 1941</w:t>
      </w:r>
      <w:r>
        <w:t xml:space="preserve">.  Cantril was an influential social psychologist who taught at Princeton for many years.  Published during the war, his main concern is why people follow leaders, even at great cost to themselves.  He considers the book social psychology in the service of freedom and democracy, xiii. This was a common project at the time.  Reviewed work: </w:t>
      </w:r>
      <w:r w:rsidRPr="00213CD2">
        <w:rPr>
          <w:i/>
          <w:iCs/>
        </w:rPr>
        <w:t>Etiology and Course of Mass Psychoses</w:t>
      </w:r>
      <w:r>
        <w:t xml:space="preserve"> by Robert Waelder, </w:t>
      </w:r>
      <w:r>
        <w:rPr>
          <w:i/>
          <w:iCs/>
        </w:rPr>
        <w:t xml:space="preserve">The Psychoanalytic Review , </w:t>
      </w:r>
      <w:r w:rsidRPr="00213CD2">
        <w:t>26, (Jan. 1939)</w:t>
      </w:r>
      <w:r>
        <w:t xml:space="preserve"> p 400, starts “Waelder undertakes this study of mass psychoses, one of the most important causes of war, in the hope that social psychology, by understanding the mechanism, may discover a remedy against the evil of war.”  </w:t>
      </w:r>
      <w:r w:rsidRPr="00763AD9">
        <w:t xml:space="preserve">Robert Waelder, , “Psychological Aspects of War and Peace: and Outline of Some of the Problems with Suggestions Regarding Further Research,” </w:t>
      </w:r>
      <w:r w:rsidRPr="00763AD9">
        <w:rPr>
          <w:i/>
        </w:rPr>
        <w:t xml:space="preserve">Geneva Studies X, </w:t>
      </w:r>
      <w:r w:rsidRPr="00763AD9">
        <w:t>no 2, May, 1939</w:t>
      </w:r>
      <w:r>
        <w:t xml:space="preserve"> covers much of the same material as Cantril, but from a more psychoanalytic perspective.   It stands out because it is published in a journal that usually only covers international relations and law.  Foreign policy-makers took the psychology of the individual in society seriously at the time.  A good example of the academic literature is Irving Lorge, “</w:t>
      </w:r>
      <w:r w:rsidRPr="00CC4FDF">
        <w:rPr>
          <w:bCs/>
          <w:iCs/>
        </w:rPr>
        <w:t>Prestige, Suggestion, and Attitudes</w:t>
      </w:r>
      <w:r w:rsidRPr="00CC4FDF">
        <w:rPr>
          <w:bCs/>
          <w:i/>
        </w:rPr>
        <w:t>,”</w:t>
      </w:r>
      <w:r>
        <w:rPr>
          <w:bCs/>
          <w:i/>
        </w:rPr>
        <w:t xml:space="preserve"> </w:t>
      </w:r>
      <w:r w:rsidRPr="00CC4FDF">
        <w:rPr>
          <w:bCs/>
          <w:i/>
        </w:rPr>
        <w:t>Journal of Social Psychology</w:t>
      </w:r>
      <w:r>
        <w:rPr>
          <w:bCs/>
          <w:i/>
        </w:rPr>
        <w:t xml:space="preserve"> </w:t>
      </w:r>
      <w:r>
        <w:rPr>
          <w:bCs/>
          <w:iCs/>
        </w:rPr>
        <w:t>7 No. 4,</w:t>
      </w:r>
      <w:r w:rsidRPr="00CC4FDF">
        <w:rPr>
          <w:bCs/>
          <w:iCs/>
        </w:rPr>
        <w:t xml:space="preserve"> Nov 1, 1936</w:t>
      </w:r>
      <w:r>
        <w:rPr>
          <w:bCs/>
          <w:iCs/>
        </w:rPr>
        <w:t>.  In the first paragraph he gives an overview of the usual methods of the field.</w:t>
      </w:r>
    </w:p>
  </w:endnote>
  <w:endnote w:id="5">
    <w:p w14:paraId="244C69F5" w14:textId="77777777" w:rsidR="003B5820" w:rsidRDefault="003B5820" w:rsidP="003B5820">
      <w:pPr>
        <w:pStyle w:val="EndnoteText"/>
      </w:pPr>
      <w:r>
        <w:rPr>
          <w:rStyle w:val="EndnoteReference"/>
        </w:rPr>
        <w:endnoteRef/>
      </w:r>
      <w:r>
        <w:t xml:space="preserve"> </w:t>
      </w:r>
      <w:r w:rsidRPr="00AC7ACE">
        <w:t>Maurice</w:t>
      </w:r>
      <w:r>
        <w:t xml:space="preserve"> </w:t>
      </w:r>
      <w:r w:rsidRPr="00AC7ACE">
        <w:t xml:space="preserve">Gorham, </w:t>
      </w:r>
      <w:r w:rsidRPr="00AC7ACE">
        <w:rPr>
          <w:i/>
          <w:iCs/>
        </w:rPr>
        <w:t xml:space="preserve">Showmen and Suckers: An excursion on the crazy fringe of the entertainment world, </w:t>
      </w:r>
      <w:r w:rsidRPr="00AC7ACE">
        <w:t>London: Percival Marshall, 1951</w:t>
      </w:r>
      <w:r>
        <w:t xml:space="preserve">, 3, </w:t>
      </w:r>
      <w:r w:rsidRPr="00AC7ACE">
        <w:t>“…and all the routines lead up to you letting a stranger hold your wallet to show that you trust him as much as he trusts you, and so qualifying to share in distributing a fortune and be rewarded for you</w:t>
      </w:r>
      <w:r>
        <w:t>r</w:t>
      </w:r>
      <w:r w:rsidRPr="00AC7ACE">
        <w:t xml:space="preserve"> trouble with a nice cut.”</w:t>
      </w:r>
    </w:p>
  </w:endnote>
  <w:endnote w:id="6">
    <w:p w14:paraId="2289B000" w14:textId="77777777" w:rsidR="003B5820" w:rsidRDefault="003B5820" w:rsidP="003B5820">
      <w:pPr>
        <w:pStyle w:val="EndnoteText"/>
      </w:pPr>
      <w:r>
        <w:rPr>
          <w:rStyle w:val="EndnoteReference"/>
        </w:rPr>
        <w:endnoteRef/>
      </w:r>
      <w:r>
        <w:t xml:space="preserve"> </w:t>
      </w:r>
      <w:r w:rsidRPr="003D4B38">
        <w:rPr>
          <w:i/>
          <w:iCs/>
        </w:rPr>
        <w:t>The Confessions of a Con Man,</w:t>
      </w:r>
      <w:r w:rsidRPr="003D4B38">
        <w:t xml:space="preserve"> as told to Will Irwin, New York: B. W. Huebsch, 1909</w:t>
      </w:r>
      <w:r>
        <w:t xml:space="preserve">.  This is a collection of stories that had been serialized in </w:t>
      </w:r>
      <w:r>
        <w:rPr>
          <w:i/>
          <w:iCs/>
        </w:rPr>
        <w:t xml:space="preserve">The Saturday Evening Post.  </w:t>
      </w:r>
      <w:r>
        <w:t>Irwin is only the writer, the protagonist is unnamed.  P 55 has</w:t>
      </w:r>
      <w:r w:rsidRPr="00F512CE">
        <w:t xml:space="preserve"> “You must know how to pick your sucker, how to see the opening to his mind like a flash of lightening, and how to choose the psychological moment to have your assistants pull off big winnings.  It is a great term, that ‘psychological moment.’  To know it when it arrives is the kernel of the business of grafting.”</w:t>
      </w:r>
      <w:r w:rsidRPr="003D4B38">
        <w:t xml:space="preserve"> </w:t>
      </w:r>
      <w:r>
        <w:t xml:space="preserve">Superintendent Tom Ashworth, “The Con Man: A Different Angle of Approach,” </w:t>
      </w:r>
      <w:r>
        <w:rPr>
          <w:i/>
          <w:iCs/>
        </w:rPr>
        <w:t xml:space="preserve">The Police Journal: Theory, Practice and Principles </w:t>
      </w:r>
      <w:r>
        <w:t>12, No. 1, 1939, p 53, “</w:t>
      </w:r>
      <w:r w:rsidRPr="00DA722D">
        <w:t>He is, by the nature of his profession, a psychologist of the first</w:t>
      </w:r>
      <w:r>
        <w:t xml:space="preserve"> class…”    Ashworth was the Deputy Chief Constable of the City of Bath, and while it is a small city, it is a spa, so in the right season would have an excess of bored wealthy people.  He probably had a lot of experience with these crimes.  </w:t>
      </w:r>
    </w:p>
  </w:endnote>
  <w:endnote w:id="7">
    <w:p w14:paraId="1731BB3B" w14:textId="77777777" w:rsidR="003B5820" w:rsidRPr="00847262" w:rsidRDefault="003B5820" w:rsidP="003B5820">
      <w:pPr>
        <w:pStyle w:val="EndnoteText"/>
      </w:pPr>
      <w:r>
        <w:rPr>
          <w:rStyle w:val="EndnoteReference"/>
        </w:rPr>
        <w:endnoteRef/>
      </w:r>
      <w:r>
        <w:t xml:space="preserve"> Irwin, </w:t>
      </w:r>
      <w:r>
        <w:rPr>
          <w:i/>
          <w:iCs/>
        </w:rPr>
        <w:t xml:space="preserve">Confessions, </w:t>
      </w:r>
      <w:r>
        <w:t>86 “</w:t>
      </w:r>
      <w:r w:rsidRPr="00847262">
        <w:t>But if I could tell the whole story of one of these swindles, put in the</w:t>
      </w:r>
      <w:r>
        <w:t xml:space="preserve"> </w:t>
      </w:r>
      <w:r w:rsidRPr="00847262">
        <w:t>dialogue, the little gestures and stage business, you would see how gradually his natural greed is brought out in the sucker until his eagerness for big money kills his common-sense.  Human</w:t>
      </w:r>
      <w:r>
        <w:t xml:space="preserve"> </w:t>
      </w:r>
      <w:r w:rsidRPr="00847262">
        <w:t xml:space="preserve">greed is the best booster [a confederate working on the job] of the confidence man.” </w:t>
      </w:r>
      <w:r>
        <w:t xml:space="preserve"> Gorham, </w:t>
      </w:r>
      <w:r>
        <w:rPr>
          <w:i/>
          <w:iCs/>
        </w:rPr>
        <w:t xml:space="preserve">Showmen, </w:t>
      </w:r>
      <w:r>
        <w:t xml:space="preserve">3, </w:t>
      </w:r>
      <w:r w:rsidRPr="001F41C9">
        <w:t>“His secret dream of sudden wealth may make him a fit prospect for the confidence trick in its simplest forms.”</w:t>
      </w:r>
    </w:p>
  </w:endnote>
  <w:endnote w:id="8">
    <w:p w14:paraId="69E887FE" w14:textId="77777777" w:rsidR="003B5820" w:rsidRDefault="003B5820" w:rsidP="003B5820">
      <w:pPr>
        <w:pStyle w:val="EndnoteText"/>
      </w:pPr>
      <w:r>
        <w:rPr>
          <w:rStyle w:val="EndnoteReference"/>
        </w:rPr>
        <w:endnoteRef/>
      </w:r>
      <w:r>
        <w:t xml:space="preserve"> Gorham, </w:t>
      </w:r>
      <w:r>
        <w:rPr>
          <w:i/>
          <w:iCs/>
        </w:rPr>
        <w:t xml:space="preserve">Showmen, </w:t>
      </w:r>
      <w:r>
        <w:t>3</w:t>
      </w:r>
      <w:r>
        <w:rPr>
          <w:i/>
          <w:iCs/>
        </w:rPr>
        <w:t xml:space="preserve">.  </w:t>
      </w:r>
      <w:r>
        <w:t xml:space="preserve">Most of the stories in Irwin, </w:t>
      </w:r>
      <w:r>
        <w:rPr>
          <w:i/>
          <w:iCs/>
        </w:rPr>
        <w:t xml:space="preserve">Confessions, </w:t>
      </w:r>
      <w:r>
        <w:t>aren’t just of someone falling for a con, but of them becoming enthusiastic about falling for it: conning themselves.  Many of them start with a description of how experienced and clever the mark thinks he is.</w:t>
      </w:r>
      <w:r>
        <w:rPr>
          <w:i/>
          <w:iCs/>
        </w:rPr>
        <w:t xml:space="preserve"> </w:t>
      </w:r>
    </w:p>
  </w:endnote>
  <w:endnote w:id="9">
    <w:p w14:paraId="18B61901" w14:textId="77777777" w:rsidR="003B5820" w:rsidRDefault="003B5820" w:rsidP="003B5820">
      <w:pPr>
        <w:pStyle w:val="EndnoteText"/>
      </w:pPr>
      <w:r>
        <w:rPr>
          <w:rStyle w:val="EndnoteReference"/>
        </w:rPr>
        <w:endnoteRef/>
      </w:r>
      <w:r>
        <w:t xml:space="preserve"> The first two chapters of </w:t>
      </w:r>
      <w:r w:rsidRPr="0007295E">
        <w:t xml:space="preserve">Robert D. Kaplan, </w:t>
      </w:r>
      <w:r w:rsidRPr="0007295E">
        <w:rPr>
          <w:i/>
          <w:iCs/>
        </w:rPr>
        <w:t xml:space="preserve">The Arabists: The Romance of an American Elite, </w:t>
      </w:r>
      <w:r w:rsidRPr="0007295E">
        <w:t>New York: The Free Press, 1993</w:t>
      </w:r>
      <w:r>
        <w:t xml:space="preserve"> are about the missionary community that his grandfather would have lived in.  A good summation of Kaplan’s judgment on them is 8: </w:t>
      </w:r>
      <w:r w:rsidRPr="0007295E">
        <w:t xml:space="preserve">“Truly there are few social species as authentically American as the missionary, and, by extension, the missionary-Arabist: a person concerned less with political power than with the doing of good deeds in order to improve the world and to be loved by less-fortunate others.”  </w:t>
      </w:r>
    </w:p>
  </w:endnote>
  <w:endnote w:id="10">
    <w:p w14:paraId="1CEA0D43" w14:textId="77777777" w:rsidR="003B5820" w:rsidRDefault="003B5820" w:rsidP="003B5820">
      <w:pPr>
        <w:pStyle w:val="EndnoteText"/>
      </w:pPr>
      <w:r>
        <w:rPr>
          <w:rStyle w:val="EndnoteReference"/>
        </w:rPr>
        <w:endnoteRef/>
      </w:r>
      <w:r>
        <w:t xml:space="preserve"> </w:t>
      </w:r>
      <w:r w:rsidRPr="00422601">
        <w:t>Philip C. Jessup, "The Reality of International Law," Foreign Affairs 18, no. 2 (January 1940)</w:t>
      </w:r>
      <w:r>
        <w:t xml:space="preserve">, is an article defending the discipline from the large literature at the time claiming that it didn’t exist or was useless.  As the war went on, those voices got more numerous and louder.  </w:t>
      </w:r>
    </w:p>
  </w:endnote>
  <w:endnote w:id="11">
    <w:p w14:paraId="5A0B8B45" w14:textId="77777777" w:rsidR="003B5820" w:rsidRPr="00A81ABC" w:rsidRDefault="003B5820" w:rsidP="003B5820">
      <w:pPr>
        <w:pStyle w:val="EndnoteText"/>
      </w:pPr>
      <w:r>
        <w:rPr>
          <w:rStyle w:val="EndnoteReference"/>
        </w:rPr>
        <w:endnoteRef/>
      </w:r>
      <w:r>
        <w:t xml:space="preserve"> This paragraph leans heavily on Cantril, </w:t>
      </w:r>
      <w:r>
        <w:rPr>
          <w:i/>
          <w:iCs/>
        </w:rPr>
        <w:t xml:space="preserve">Social Movements, </w:t>
      </w:r>
      <w:r>
        <w:t xml:space="preserve">Ch 3, “The Individual’s Pursuit of Meaning,” 59-77, particularly the section on the critical situation, 63-77.  Another social psychologist of the era, </w:t>
      </w:r>
      <w:r w:rsidRPr="00A3695E">
        <w:t>Wilhelm</w:t>
      </w:r>
      <w:r>
        <w:t xml:space="preserve"> </w:t>
      </w:r>
      <w:r w:rsidRPr="00A3695E">
        <w:t xml:space="preserve">Reich, </w:t>
      </w:r>
      <w:r w:rsidRPr="00A3695E">
        <w:rPr>
          <w:i/>
          <w:iCs/>
        </w:rPr>
        <w:t xml:space="preserve">The Mass Psychology of Fascism, </w:t>
      </w:r>
      <w:r w:rsidRPr="00A3695E">
        <w:t>translated from the German by Vincent R. Carfagno, New Yo</w:t>
      </w:r>
      <w:r>
        <w:t>rk</w:t>
      </w:r>
      <w:r w:rsidRPr="00A3695E">
        <w:t>: Farrar, Straus &amp; Giroux, 1970</w:t>
      </w:r>
      <w:r>
        <w:t>, f</w:t>
      </w:r>
      <w:r w:rsidRPr="00A3695E">
        <w:t>irst published in German 1933, first Eng</w:t>
      </w:r>
      <w:r>
        <w:t>lish</w:t>
      </w:r>
      <w:r w:rsidRPr="00A3695E">
        <w:t xml:space="preserve"> translation, 1946</w:t>
      </w:r>
      <w:r>
        <w:t xml:space="preserve">, has a slightly different approach.  For him, the human mind is always changing slower than the material conditions we live in, and when they get well out of synch, that is the source of the crisis, and people are likely to make irrational decisions that aren’t in their own best interests, 18-20.  As both make the failure to find meaning in a situation key, there is commonality.  </w:t>
      </w:r>
    </w:p>
  </w:endnote>
  <w:endnote w:id="12">
    <w:p w14:paraId="07EABE4C" w14:textId="77777777" w:rsidR="003B5820" w:rsidRDefault="003B5820" w:rsidP="003B5820">
      <w:pPr>
        <w:pStyle w:val="EndnoteText"/>
      </w:pPr>
      <w:r>
        <w:rPr>
          <w:rStyle w:val="EndnoteReference"/>
        </w:rPr>
        <w:endnoteRef/>
      </w:r>
      <w:r>
        <w:t xml:space="preserve"> Cantril, </w:t>
      </w:r>
      <w:r>
        <w:rPr>
          <w:i/>
          <w:iCs/>
        </w:rPr>
        <w:t>Social Movements,</w:t>
      </w:r>
      <w:r>
        <w:t>, 63 for the quote, 64 for the applicability of the term to societies.</w:t>
      </w:r>
    </w:p>
  </w:endnote>
  <w:endnote w:id="13">
    <w:p w14:paraId="5393101F" w14:textId="77777777" w:rsidR="003B5820" w:rsidRDefault="003B5820" w:rsidP="003B5820">
      <w:pPr>
        <w:pStyle w:val="EndnoteText"/>
      </w:pPr>
      <w:r>
        <w:rPr>
          <w:rStyle w:val="EndnoteReference"/>
        </w:rPr>
        <w:endnoteRef/>
      </w:r>
      <w:r>
        <w:t xml:space="preserve"> Ibid., 64, </w:t>
      </w:r>
      <w:r w:rsidRPr="00226ACC">
        <w:t>“Critical situations, such as those we have just described, furnish one of the two major psychological conditions that make individuals suggestible.  A person is susceptible to suggestion when (1) he has no adequate mental context for the interpretation of a given stimulus or event or (2) when his mental context is so rigidly fixed that a stimulus is automatically judged by means of this context and without an examination of the stimulus itself.  The first condition results from bewilderment; the second from the ‘will to believe.’”</w:t>
      </w:r>
      <w:r>
        <w:t xml:space="preserve">  65, </w:t>
      </w:r>
      <w:r w:rsidRPr="00226ACC">
        <w:t>“…</w:t>
      </w:r>
      <w:r>
        <w:t xml:space="preserve">[in a critical situation] </w:t>
      </w:r>
      <w:r w:rsidRPr="00226ACC">
        <w:t>the ignorant, perplexed and anxious citizen may accept uncritically the oversimplified schemes of a crackpot utopian.”</w:t>
      </w:r>
    </w:p>
  </w:endnote>
  <w:endnote w:id="14">
    <w:p w14:paraId="4BDE5D09" w14:textId="77777777" w:rsidR="003B5820" w:rsidRPr="00C65FAC" w:rsidRDefault="003B5820" w:rsidP="003B5820">
      <w:pPr>
        <w:pStyle w:val="EndnoteText"/>
      </w:pPr>
      <w:r>
        <w:rPr>
          <w:rStyle w:val="EndnoteReference"/>
        </w:rPr>
        <w:endnoteRef/>
      </w:r>
      <w:r>
        <w:t xml:space="preserve"> Irwin, </w:t>
      </w:r>
      <w:r>
        <w:rPr>
          <w:i/>
          <w:iCs/>
        </w:rPr>
        <w:t xml:space="preserve">Confessions, </w:t>
      </w:r>
      <w:r>
        <w:t xml:space="preserve">51, </w:t>
      </w:r>
      <w:r w:rsidRPr="00C65FAC">
        <w:t>“People in general know very little about it [the circus].  They suppose that the profits come from the ticket wagon, with perhaps a little extra for short change, peanuts and pink lemonade.  As a matter of fact, eight out of every ten dollars of profit have come in the past from confidence outfits and crooked gambling games, which follow the show and are as much a part of its business as the elephants.”</w:t>
      </w:r>
      <w:r>
        <w:t xml:space="preserve">  </w:t>
      </w:r>
      <w:r w:rsidRPr="00C65FAC">
        <w:t>52</w:t>
      </w:r>
      <w:r>
        <w:t>,</w:t>
      </w:r>
      <w:r w:rsidRPr="00C65FAC">
        <w:t xml:space="preserve"> “As a general rule, the smaller the circus the more corrupt it is in this respect.  Many of the little ones have been run by confidence men simply as blinds for skin games.”</w:t>
      </w:r>
      <w:r>
        <w:t xml:space="preserve">  </w:t>
      </w:r>
      <w:r w:rsidRPr="00C65FAC">
        <w:t xml:space="preserve">Chipman, </w:t>
      </w:r>
      <w:r w:rsidRPr="00C65FAC">
        <w:rPr>
          <w:i/>
          <w:iCs/>
        </w:rPr>
        <w:t>Hey Rube,</w:t>
      </w:r>
      <w:r>
        <w:rPr>
          <w:i/>
          <w:iCs/>
        </w:rPr>
        <w:t xml:space="preserve"> </w:t>
      </w:r>
      <w:r>
        <w:t xml:space="preserve">13, concurs.  All of this was before the development of circuses like Ringling Brothers, whose great innovation was to make the circus family-friendly by excluding gambling and the problematic side-shows.  Irwin calls them ‘Sunday-school circuses.’  </w:t>
      </w:r>
    </w:p>
  </w:endnote>
  <w:endnote w:id="15">
    <w:p w14:paraId="2CA41210" w14:textId="77777777" w:rsidR="003B5820" w:rsidRPr="00F100B6" w:rsidRDefault="003B5820" w:rsidP="003B5820">
      <w:pPr>
        <w:pStyle w:val="EndnoteText"/>
      </w:pPr>
      <w:r>
        <w:rPr>
          <w:rStyle w:val="EndnoteReference"/>
        </w:rPr>
        <w:endnoteRef/>
      </w:r>
      <w:r>
        <w:t xml:space="preserve"> Gorham, </w:t>
      </w:r>
      <w:r>
        <w:rPr>
          <w:i/>
          <w:iCs/>
        </w:rPr>
        <w:t xml:space="preserve">Showmen, </w:t>
      </w:r>
      <w:r w:rsidRPr="00F100B6">
        <w:t>5 “When it comes to holidays, entertainments, and sport, then the sucker streak fairly blazes out.  Your own mood, and the atmosphere of other people in the same mood, do the showman’s work for him.”</w:t>
      </w:r>
    </w:p>
  </w:endnote>
  <w:endnote w:id="16">
    <w:p w14:paraId="2D55C9F4" w14:textId="77777777" w:rsidR="003B5820" w:rsidRPr="00127699" w:rsidRDefault="003B5820" w:rsidP="003B5820">
      <w:pPr>
        <w:pStyle w:val="EndnoteText"/>
      </w:pPr>
      <w:r>
        <w:rPr>
          <w:rStyle w:val="EndnoteReference"/>
        </w:rPr>
        <w:endnoteRef/>
      </w:r>
      <w:r>
        <w:t xml:space="preserve"> The circus was also more violent than we might expect, particularly the small ones that went to rural towns.  </w:t>
      </w:r>
      <w:r w:rsidRPr="00C65FAC">
        <w:t xml:space="preserve">Chipman, </w:t>
      </w:r>
      <w:r w:rsidRPr="00C65FAC">
        <w:rPr>
          <w:i/>
          <w:iCs/>
        </w:rPr>
        <w:t>Hey Rube</w:t>
      </w:r>
      <w:r>
        <w:rPr>
          <w:i/>
          <w:iCs/>
        </w:rPr>
        <w:t xml:space="preserve">, </w:t>
      </w:r>
      <w:r>
        <w:t xml:space="preserve">has long lists of fights between patrons and circus workers, often involving guns and deaths.  The most serious, described on p. 17, was Jacksonville, Texas in 1903, an 8-hour gunfight that left 23 dead and 50 wounded.  Fun at the circus indeed.  The title, ‘Hey, Rube,’ is what a circus worker would shout out if he had gotten into a fight with a customer and wanted to rally his fellow workers to his aid.  Perhaps it meant ‘the sucker has gotten wise.’  Violence is another indication that social norms were suspended at the circus.    </w:t>
      </w:r>
    </w:p>
  </w:endnote>
  <w:endnote w:id="17">
    <w:p w14:paraId="4F315CD2" w14:textId="77777777" w:rsidR="003B5820" w:rsidRDefault="003B5820" w:rsidP="003B5820">
      <w:pPr>
        <w:pStyle w:val="EndnoteText"/>
      </w:pPr>
      <w:r>
        <w:rPr>
          <w:rStyle w:val="EndnoteReference"/>
        </w:rPr>
        <w:endnoteRef/>
      </w:r>
      <w:r>
        <w:t xml:space="preserve"> Find this #, and put in Proudfit for a larger #.  Reference the website and papers there.</w:t>
      </w:r>
    </w:p>
  </w:endnote>
  <w:endnote w:id="18">
    <w:p w14:paraId="33C2D38F" w14:textId="77777777" w:rsidR="003B5820" w:rsidRDefault="003B5820" w:rsidP="003B5820">
      <w:pPr>
        <w:pStyle w:val="EndnoteText"/>
        <w:spacing w:before="100" w:after="100"/>
        <w:contextualSpacing/>
      </w:pPr>
      <w:r>
        <w:rPr>
          <w:rStyle w:val="EndnoteReference"/>
        </w:rPr>
        <w:endnoteRef/>
      </w:r>
      <w:r>
        <w:t xml:space="preserve"> A list of some examples of this point: </w:t>
      </w:r>
      <w:r w:rsidRPr="003C3652">
        <w:t>1950 M 33: Jor, 1.</w:t>
      </w:r>
      <w:r>
        <w:t xml:space="preserve">  </w:t>
      </w:r>
      <w:r w:rsidRPr="003C3652">
        <w:t>M 36: Iraq, 3; Lebanon, 14</w:t>
      </w:r>
      <w:r>
        <w:t xml:space="preserve">.  </w:t>
      </w:r>
      <w:r w:rsidRPr="003C3652">
        <w:t>M 61: Iraq, 51</w:t>
      </w:r>
      <w:r>
        <w:t xml:space="preserve">.  </w:t>
      </w:r>
      <w:r w:rsidRPr="003C3652">
        <w:t>M 62: Saudi Arabia, 12; Pakistan, 24</w:t>
      </w:r>
      <w:r>
        <w:t xml:space="preserve">.  </w:t>
      </w:r>
      <w:r w:rsidRPr="003C3652">
        <w:t>M 64: Syria, 43</w:t>
      </w:r>
      <w:r>
        <w:t xml:space="preserve">. </w:t>
      </w:r>
      <w:r w:rsidRPr="003C3652">
        <w:t>M 65: Jordan, 14, 15; Lebanon, 19</w:t>
      </w:r>
      <w:r>
        <w:t xml:space="preserve">.  </w:t>
      </w:r>
      <w:r w:rsidRPr="003C3652">
        <w:t>M 68: Iraq, 20</w:t>
      </w:r>
      <w:r>
        <w:t>.</w:t>
      </w:r>
    </w:p>
    <w:p w14:paraId="543AE4AC" w14:textId="77777777" w:rsidR="003B5820" w:rsidRPr="003C3652" w:rsidRDefault="003B5820" w:rsidP="003B5820">
      <w:pPr>
        <w:pStyle w:val="EndnoteText"/>
        <w:spacing w:before="100" w:after="100"/>
        <w:contextualSpacing/>
      </w:pPr>
      <w:r w:rsidRPr="003C3652">
        <w:t>1951 M 45: the Representative of the refugees in Lebanon, 22. M 47: Iraq, 44</w:t>
      </w:r>
      <w:r>
        <w:t>.</w:t>
      </w:r>
    </w:p>
    <w:p w14:paraId="72637E83" w14:textId="77777777" w:rsidR="003B5820" w:rsidRDefault="003B5820" w:rsidP="003B5820">
      <w:pPr>
        <w:pStyle w:val="EndnoteText"/>
        <w:spacing w:before="100" w:after="100"/>
        <w:contextualSpacing/>
      </w:pPr>
      <w:r w:rsidRPr="003C3652">
        <w:t>1953 M 27: Syria, 3</w:t>
      </w:r>
      <w:r>
        <w:t xml:space="preserve">.  </w:t>
      </w:r>
      <w:r w:rsidRPr="003C3652">
        <w:t>M 29: Saudi Arabia, 15</w:t>
      </w:r>
      <w:r>
        <w:t xml:space="preserve">.  </w:t>
      </w:r>
    </w:p>
    <w:p w14:paraId="6DF9543C" w14:textId="77777777" w:rsidR="003B5820" w:rsidRPr="003C3652" w:rsidRDefault="003B5820" w:rsidP="003B5820">
      <w:pPr>
        <w:pStyle w:val="EndnoteText"/>
        <w:spacing w:before="100" w:after="100"/>
        <w:contextualSpacing/>
      </w:pPr>
      <w:r w:rsidRPr="003C3652">
        <w:t>1954, M 34: Iraq, 22</w:t>
      </w:r>
      <w:r>
        <w:t>.</w:t>
      </w:r>
    </w:p>
    <w:p w14:paraId="11216A2D" w14:textId="77777777" w:rsidR="003B5820" w:rsidRDefault="003B5820" w:rsidP="003B5820">
      <w:pPr>
        <w:pStyle w:val="EndnoteText"/>
      </w:pPr>
      <w:r w:rsidRPr="003C3652">
        <w:t>1955 M 18: Lebanon, 10.  M 19: Yemen, 15, 17</w:t>
      </w:r>
      <w:r>
        <w:t>.</w:t>
      </w:r>
      <w:r w:rsidRPr="003C3652">
        <w:t xml:space="preserve">  M 20: Pakistan, 14</w:t>
      </w:r>
      <w:r>
        <w:t xml:space="preserve">.  </w:t>
      </w:r>
      <w:r w:rsidRPr="003C3652">
        <w:t>M 22: Iraq, 7</w:t>
      </w:r>
    </w:p>
    <w:p w14:paraId="49F2F4DF" w14:textId="77777777" w:rsidR="003B5820" w:rsidRDefault="003B5820" w:rsidP="003B5820">
      <w:pPr>
        <w:pStyle w:val="EndnoteText"/>
      </w:pPr>
      <w:r>
        <w:t xml:space="preserve">The only state besides Israel to unambiguously say that the refugees were a product of war is 1955, M 19: </w:t>
      </w:r>
      <w:r w:rsidRPr="003C3652">
        <w:t>Netherlands, 23</w:t>
      </w:r>
      <w:r>
        <w:t xml:space="preserve"> and </w:t>
      </w:r>
      <w:r w:rsidRPr="003C3652">
        <w:t>31.</w:t>
      </w:r>
      <w:r>
        <w:t xml:space="preserve">  </w:t>
      </w:r>
    </w:p>
  </w:endnote>
  <w:endnote w:id="19">
    <w:p w14:paraId="08A8F584" w14:textId="77777777" w:rsidR="003B5820" w:rsidRDefault="003B5820" w:rsidP="003B5820">
      <w:pPr>
        <w:pStyle w:val="EndnoteText"/>
        <w:spacing w:before="100" w:after="100"/>
        <w:contextualSpacing/>
      </w:pPr>
      <w:r>
        <w:rPr>
          <w:rStyle w:val="EndnoteReference"/>
        </w:rPr>
        <w:endnoteRef/>
      </w:r>
      <w:r>
        <w:t xml:space="preserve"> The separation of political issues from the legal and humanitarian ones is at the core of the 1950 meetings.  This is a long and hard fought point, and the funders lose it decisively.  By the end of the meetings, a rigid line has been demarcated.  A very partial list of those speaking for separation: </w:t>
      </w:r>
    </w:p>
    <w:p w14:paraId="54DF8F03" w14:textId="77777777" w:rsidR="003B5820" w:rsidRPr="00295327" w:rsidRDefault="003B5820" w:rsidP="003B5820">
      <w:pPr>
        <w:pStyle w:val="EndnoteText"/>
        <w:spacing w:before="100" w:after="100"/>
        <w:contextualSpacing/>
      </w:pPr>
      <w:r w:rsidRPr="00295327">
        <w:t xml:space="preserve">1950 M 31: 12, </w:t>
      </w:r>
      <w:r>
        <w:t>Director of UN</w:t>
      </w:r>
      <w:r w:rsidRPr="00295327">
        <w:t>RWA</w:t>
      </w:r>
      <w:r>
        <w:t>.</w:t>
      </w:r>
      <w:r w:rsidRPr="00295327">
        <w:t xml:space="preserve"> </w:t>
      </w:r>
      <w:r>
        <w:t xml:space="preserve"> </w:t>
      </w:r>
      <w:r w:rsidRPr="00295327">
        <w:t>M 34: C</w:t>
      </w:r>
      <w:r>
        <w:t xml:space="preserve">onciliation </w:t>
      </w:r>
      <w:r w:rsidRPr="00295327">
        <w:t>C</w:t>
      </w:r>
      <w:r>
        <w:t xml:space="preserve">ommission for </w:t>
      </w:r>
      <w:r w:rsidRPr="00295327">
        <w:t>P</w:t>
      </w:r>
      <w:r>
        <w:t xml:space="preserve">alestine </w:t>
      </w:r>
      <w:r w:rsidRPr="00295327">
        <w:t>Chair, 1</w:t>
      </w:r>
      <w:r>
        <w:t xml:space="preserve">.  M 61: </w:t>
      </w:r>
      <w:r w:rsidRPr="00295327">
        <w:t>Leb</w:t>
      </w:r>
      <w:r>
        <w:t>anon</w:t>
      </w:r>
      <w:r w:rsidRPr="00295327">
        <w:t>, 2, 4</w:t>
      </w:r>
      <w:r>
        <w:t>;</w:t>
      </w:r>
      <w:r w:rsidRPr="00295327">
        <w:t xml:space="preserve"> Iraq, 6</w:t>
      </w:r>
      <w:r>
        <w:t>;</w:t>
      </w:r>
      <w:r w:rsidRPr="00295327">
        <w:t xml:space="preserve"> Syr</w:t>
      </w:r>
      <w:r>
        <w:t>ia</w:t>
      </w:r>
      <w:r w:rsidRPr="00295327">
        <w:t>, 8, 12, 35. Saud</w:t>
      </w:r>
      <w:r>
        <w:t>i</w:t>
      </w:r>
      <w:r w:rsidRPr="00295327">
        <w:t xml:space="preserve"> A</w:t>
      </w:r>
      <w:r>
        <w:t>rabia</w:t>
      </w:r>
      <w:r w:rsidRPr="00295327">
        <w:t xml:space="preserve">, 15.  </w:t>
      </w:r>
    </w:p>
    <w:p w14:paraId="1F7E3990" w14:textId="77777777" w:rsidR="003B5820" w:rsidRDefault="003B5820" w:rsidP="003B5820">
      <w:pPr>
        <w:pStyle w:val="EndnoteText"/>
        <w:spacing w:before="100" w:after="100"/>
        <w:contextualSpacing/>
      </w:pPr>
      <w:r w:rsidRPr="00295327">
        <w:t>M 62: Saudi Arabia, 1</w:t>
      </w:r>
      <w:r>
        <w:t xml:space="preserve">.   M 63: </w:t>
      </w:r>
      <w:r w:rsidRPr="00295327">
        <w:t>Syr</w:t>
      </w:r>
      <w:r>
        <w:t>ia</w:t>
      </w:r>
      <w:r w:rsidRPr="00295327">
        <w:t>, 21</w:t>
      </w:r>
      <w:r>
        <w:t>.</w:t>
      </w:r>
      <w:r w:rsidRPr="00295327">
        <w:t xml:space="preserve"> </w:t>
      </w:r>
      <w:r>
        <w:t xml:space="preserve"> </w:t>
      </w:r>
      <w:r w:rsidRPr="00295327">
        <w:t>M 65: Lebanon, 29; Iraq, 47.</w:t>
      </w:r>
      <w:r>
        <w:t xml:space="preserve">  </w:t>
      </w:r>
      <w:r w:rsidRPr="00295327">
        <w:t>M 67: Yugo</w:t>
      </w:r>
      <w:r>
        <w:t>slavia</w:t>
      </w:r>
      <w:r w:rsidRPr="00295327">
        <w:t>, 8</w:t>
      </w:r>
      <w:r>
        <w:t>;</w:t>
      </w:r>
      <w:r w:rsidRPr="00295327">
        <w:t xml:space="preserve"> Leb</w:t>
      </w:r>
      <w:r>
        <w:t>anon</w:t>
      </w:r>
      <w:r w:rsidRPr="00295327">
        <w:t>, 24</w:t>
      </w:r>
      <w:r>
        <w:t>;</w:t>
      </w:r>
      <w:r w:rsidRPr="00295327">
        <w:t xml:space="preserve"> Saud</w:t>
      </w:r>
      <w:r>
        <w:t>i</w:t>
      </w:r>
      <w:r w:rsidRPr="00295327">
        <w:t xml:space="preserve"> A</w:t>
      </w:r>
      <w:r>
        <w:t>rabia</w:t>
      </w:r>
      <w:r w:rsidRPr="00295327">
        <w:t>, 36</w:t>
      </w:r>
      <w:r>
        <w:t>;</w:t>
      </w:r>
      <w:r w:rsidRPr="00295327">
        <w:t xml:space="preserve"> Indon</w:t>
      </w:r>
      <w:r>
        <w:t>esia</w:t>
      </w:r>
      <w:r w:rsidRPr="00295327">
        <w:t>, 47.  M 68: Pak</w:t>
      </w:r>
      <w:r>
        <w:t>istan</w:t>
      </w:r>
      <w:r w:rsidRPr="00295327">
        <w:t>, 27</w:t>
      </w:r>
      <w:r>
        <w:t xml:space="preserve">.  </w:t>
      </w:r>
      <w:r w:rsidRPr="00295327">
        <w:t>M 69: Leb</w:t>
      </w:r>
      <w:r>
        <w:t>anon</w:t>
      </w:r>
      <w:r w:rsidRPr="00295327">
        <w:t>, 5</w:t>
      </w:r>
      <w:r>
        <w:t>,</w:t>
      </w:r>
      <w:r w:rsidRPr="00295327">
        <w:t xml:space="preserve"> 60.  Iraq, 23.  M 70: Iraq, 15</w:t>
      </w:r>
      <w:r>
        <w:t>.</w:t>
      </w:r>
      <w:r w:rsidRPr="00295327">
        <w:t>M 71: Bolivia, 15.</w:t>
      </w:r>
      <w:r>
        <w:t xml:space="preserve">  </w:t>
      </w:r>
      <w:r w:rsidRPr="00295327">
        <w:t>M 72: Philip</w:t>
      </w:r>
      <w:r>
        <w:t>pines</w:t>
      </w:r>
      <w:r w:rsidRPr="00295327">
        <w:t>, 17</w:t>
      </w:r>
      <w:r>
        <w:t>;</w:t>
      </w:r>
      <w:r w:rsidRPr="00295327">
        <w:t xml:space="preserve">  Iraq, 65. </w:t>
      </w:r>
    </w:p>
    <w:p w14:paraId="48730A20" w14:textId="77777777" w:rsidR="003B5820" w:rsidRDefault="003B5820" w:rsidP="003B5820">
      <w:pPr>
        <w:pStyle w:val="EndnoteText"/>
        <w:spacing w:before="100" w:after="100"/>
        <w:contextualSpacing/>
      </w:pPr>
      <w:r>
        <w:t xml:space="preserve">A partial list of those who don’t believe that they can be successfully separated: </w:t>
      </w:r>
    </w:p>
    <w:p w14:paraId="00584C0A" w14:textId="77777777" w:rsidR="003B5820" w:rsidRDefault="003B5820" w:rsidP="003B5820">
      <w:pPr>
        <w:pStyle w:val="EndnoteText"/>
        <w:spacing w:before="100" w:after="100"/>
        <w:contextualSpacing/>
      </w:pPr>
      <w:r>
        <w:t xml:space="preserve">1950, </w:t>
      </w:r>
      <w:r w:rsidRPr="00295327">
        <w:t xml:space="preserve">M 35: </w:t>
      </w:r>
      <w:r>
        <w:t xml:space="preserve">Canada </w:t>
      </w:r>
      <w:r w:rsidRPr="00295327">
        <w:t>21</w:t>
      </w:r>
      <w:r>
        <w:t>;</w:t>
      </w:r>
      <w:r w:rsidRPr="00295327">
        <w:t xml:space="preserve"> Turkey, 49</w:t>
      </w:r>
      <w:r>
        <w:t>;</w:t>
      </w:r>
      <w:r w:rsidRPr="00295327">
        <w:t xml:space="preserve"> Dom</w:t>
      </w:r>
      <w:r>
        <w:t>inican</w:t>
      </w:r>
      <w:r w:rsidRPr="00295327">
        <w:t xml:space="preserve"> Rep</w:t>
      </w:r>
      <w:r>
        <w:t>ublic,</w:t>
      </w:r>
      <w:r w:rsidRPr="00295327">
        <w:t xml:space="preserve"> 59.</w:t>
      </w:r>
      <w:r>
        <w:t xml:space="preserve">  </w:t>
      </w:r>
      <w:r w:rsidRPr="00295327">
        <w:t>M 61: UK, 1</w:t>
      </w:r>
      <w:r>
        <w:t xml:space="preserve">; </w:t>
      </w:r>
      <w:r w:rsidRPr="00295327">
        <w:t>US, 19</w:t>
      </w:r>
      <w:r>
        <w:t xml:space="preserve">.  </w:t>
      </w:r>
      <w:r w:rsidRPr="00295327">
        <w:t>M 63: Turkey, 8</w:t>
      </w:r>
      <w:r>
        <w:t>;</w:t>
      </w:r>
      <w:r w:rsidRPr="00295327">
        <w:t xml:space="preserve"> Fr</w:t>
      </w:r>
      <w:r>
        <w:t>ance</w:t>
      </w:r>
      <w:r w:rsidRPr="00295327">
        <w:t>, 12</w:t>
      </w:r>
      <w:r>
        <w:t>;</w:t>
      </w:r>
      <w:r w:rsidRPr="00295327">
        <w:t xml:space="preserve"> Australia 28</w:t>
      </w:r>
      <w:r>
        <w:t xml:space="preserve">.  M 64: </w:t>
      </w:r>
      <w:r w:rsidRPr="00295327">
        <w:t>Uruguay, 56.</w:t>
      </w:r>
      <w:r>
        <w:t xml:space="preserve">  </w:t>
      </w:r>
      <w:r w:rsidRPr="00295327">
        <w:t>M 66: Fr</w:t>
      </w:r>
      <w:r>
        <w:t>ance</w:t>
      </w:r>
      <w:r w:rsidRPr="00295327">
        <w:t>, 2</w:t>
      </w:r>
      <w:r>
        <w:t xml:space="preserve">; </w:t>
      </w:r>
      <w:r w:rsidRPr="00295327">
        <w:t>Turk</w:t>
      </w:r>
      <w:r>
        <w:t>ey</w:t>
      </w:r>
      <w:r w:rsidRPr="00295327">
        <w:t>, 7</w:t>
      </w:r>
      <w:r>
        <w:t>.</w:t>
      </w:r>
      <w:r w:rsidRPr="00295327">
        <w:t xml:space="preserve"> </w:t>
      </w:r>
      <w:r>
        <w:t xml:space="preserve">M 67: </w:t>
      </w:r>
      <w:r w:rsidRPr="00295327">
        <w:t>Nether</w:t>
      </w:r>
      <w:r>
        <w:t>lands</w:t>
      </w:r>
      <w:r w:rsidRPr="00295327">
        <w:t>, 11</w:t>
      </w:r>
      <w:r>
        <w:t xml:space="preserve">; </w:t>
      </w:r>
      <w:r w:rsidRPr="00295327">
        <w:t>Canada, 49-55</w:t>
      </w:r>
      <w:r>
        <w:t xml:space="preserve">.  M 69: </w:t>
      </w:r>
      <w:r w:rsidRPr="00295327">
        <w:t>UK, 3</w:t>
      </w:r>
      <w:r>
        <w:t>.</w:t>
      </w:r>
    </w:p>
    <w:p w14:paraId="5669CA03" w14:textId="77777777" w:rsidR="003B5820" w:rsidRDefault="003B5820" w:rsidP="003B5820">
      <w:pPr>
        <w:pStyle w:val="EndnoteText"/>
        <w:spacing w:before="100" w:after="100"/>
        <w:contextualSpacing/>
      </w:pPr>
      <w:r>
        <w:t xml:space="preserve">The issue comes up much less in other years, as it was decided here, and the funders moved on to different approaches. </w:t>
      </w:r>
    </w:p>
    <w:p w14:paraId="3377BFA4" w14:textId="77777777" w:rsidR="003B5820" w:rsidRDefault="003B5820" w:rsidP="003B5820">
      <w:pPr>
        <w:pStyle w:val="EndnoteText"/>
        <w:spacing w:before="100" w:after="100"/>
        <w:contextualSpacing/>
      </w:pPr>
      <w:r>
        <w:t xml:space="preserve"> </w:t>
      </w:r>
    </w:p>
  </w:endnote>
  <w:endnote w:id="20">
    <w:p w14:paraId="13FFC3AF" w14:textId="77777777" w:rsidR="003B5820" w:rsidRDefault="003B5820" w:rsidP="003B5820">
      <w:pPr>
        <w:pStyle w:val="EndnoteText"/>
      </w:pPr>
      <w:r>
        <w:rPr>
          <w:rStyle w:val="EndnoteReference"/>
        </w:rPr>
        <w:endnoteRef/>
      </w:r>
      <w:r>
        <w:t xml:space="preserve"> There is no point in making a list here; all the points of those speaking for the refugees to remain refugees are arguing this.  Thus, any discussion of relief, the expansion of relief, the limitless of relief, the UN’s responsibility, and so much more are arguments that they can’t settle in Arab states.  Those arguments not supported by natural law are often supported by reference to UNGA resolution 194 para 11, which states that repatriation and compensation are solutions to the problem.  </w:t>
      </w:r>
    </w:p>
  </w:endnote>
  <w:endnote w:id="21">
    <w:p w14:paraId="5602C087" w14:textId="77777777" w:rsidR="003B5820" w:rsidRPr="00054B29" w:rsidRDefault="003B5820" w:rsidP="003B5820">
      <w:pPr>
        <w:pStyle w:val="EndnoteText"/>
      </w:pPr>
      <w:r>
        <w:rPr>
          <w:rStyle w:val="EndnoteReference"/>
        </w:rPr>
        <w:endnoteRef/>
      </w:r>
      <w:r>
        <w:t xml:space="preserve"> Cantril, </w:t>
      </w:r>
      <w:r>
        <w:rPr>
          <w:i/>
          <w:iCs/>
        </w:rPr>
        <w:t xml:space="preserve">Social Movements, </w:t>
      </w:r>
      <w:r>
        <w:t>266-67.  The context here is the rise of the Nazi party and how the collapse of old social norms in WWI and the often chaotic conditions in the Weimar Republic created the conditions whereby the German public was ripe to accept the Nazi solutions.</w:t>
      </w:r>
    </w:p>
  </w:endnote>
  <w:endnote w:id="22">
    <w:p w14:paraId="42A0DE79" w14:textId="77777777" w:rsidR="003B5820" w:rsidRPr="004E3167" w:rsidRDefault="003B5820" w:rsidP="003B5820">
      <w:pPr>
        <w:pStyle w:val="EndnoteText"/>
      </w:pPr>
      <w:r>
        <w:rPr>
          <w:rStyle w:val="EndnoteReference"/>
        </w:rPr>
        <w:endnoteRef/>
      </w:r>
      <w:r>
        <w:t xml:space="preserve"> Much of this is based on Cantril, </w:t>
      </w:r>
      <w:r>
        <w:rPr>
          <w:i/>
          <w:iCs/>
        </w:rPr>
        <w:t>Social Movements,</w:t>
      </w:r>
      <w:r>
        <w:t xml:space="preserve"> 255-66, which is the section on tactics used by the Nazi Party.  </w:t>
      </w:r>
    </w:p>
  </w:endnote>
  <w:endnote w:id="23">
    <w:p w14:paraId="3083A339" w14:textId="77777777" w:rsidR="003B5820" w:rsidRDefault="003B5820" w:rsidP="003B5820">
      <w:pPr>
        <w:pStyle w:val="EndnoteText"/>
      </w:pPr>
      <w:r>
        <w:rPr>
          <w:rStyle w:val="EndnoteReference"/>
        </w:rPr>
        <w:endnoteRef/>
      </w:r>
      <w:r>
        <w:t xml:space="preserve"> 1954, M34:9.  The Saudi Arabian delegate says much the same, but with better language, in 1955, M 17: 32, </w:t>
      </w:r>
      <w:r w:rsidRPr="007C6A80">
        <w:t>“He was heartened and encouraged by those voices which represented an overwhelming majority of humanity and emanated from the four corners of the globe. The comforting fact that the rights of the refugees were upheld by such an impressive representation of religious faiths, races and creeds indicated that the clouds of falsehood and deception were beginning to lift and that those cries would in the end triumph by the sheer weight of truth and justice.”</w:t>
      </w:r>
      <w:r>
        <w:t xml:space="preserve">  Who would want to be on the wrong side of truth and justice?  The representative of the Refugees, in 1955, M 18: 59 has “</w:t>
      </w:r>
      <w:r w:rsidRPr="00E50FE6">
        <w:t>All the peoples of the world, including the Jews in the United States, condemned the policy of discrimination adopted by the Zionists in Palestine.</w:t>
      </w:r>
      <w:r>
        <w:t>”</w:t>
      </w:r>
      <w:r w:rsidRPr="00E50FE6">
        <w:t xml:space="preserve"> </w:t>
      </w:r>
    </w:p>
  </w:endnote>
  <w:endnote w:id="24">
    <w:p w14:paraId="45197E53" w14:textId="77777777" w:rsidR="003B5820" w:rsidRPr="001C5C8C" w:rsidRDefault="003B5820" w:rsidP="003B5820">
      <w:pPr>
        <w:pStyle w:val="EndnoteText"/>
      </w:pPr>
      <w:r>
        <w:rPr>
          <w:rStyle w:val="EndnoteReference"/>
        </w:rPr>
        <w:endnoteRef/>
      </w:r>
      <w:r>
        <w:t xml:space="preserve"> Cantril, </w:t>
      </w:r>
      <w:r>
        <w:rPr>
          <w:i/>
          <w:iCs/>
        </w:rPr>
        <w:t>Social Movements,</w:t>
      </w:r>
      <w:r>
        <w:t xml:space="preserve"> 118.  It is instructive that Cantril rejects the then common notion of a ‘mob mind.’  While they may all act together and be thinking along the same lines, individuals remain individuals even in a mob, and are responsible for their actions.  His is a liberal, democratic understanding of psychology, and so still is based on the individual actor.  </w:t>
      </w:r>
    </w:p>
  </w:endnote>
  <w:endnote w:id="25">
    <w:p w14:paraId="7E100DF7" w14:textId="77777777" w:rsidR="003B5820" w:rsidRPr="00F35FE8" w:rsidRDefault="003B5820" w:rsidP="003B5820">
      <w:pPr>
        <w:pStyle w:val="EndnoteText"/>
      </w:pPr>
      <w:r>
        <w:rPr>
          <w:rStyle w:val="EndnoteReference"/>
        </w:rPr>
        <w:endnoteRef/>
      </w:r>
      <w:r>
        <w:t xml:space="preserve"> Irwin, </w:t>
      </w:r>
      <w:r>
        <w:rPr>
          <w:i/>
          <w:iCs/>
        </w:rPr>
        <w:t xml:space="preserve">Confessions, </w:t>
      </w:r>
      <w:r w:rsidRPr="00F35FE8">
        <w:t>26 “I was following a principle which Ross had laid down for me, and which all professional grafters know.  Never let your man win the first throw.  You’d think that making him win would be the best way of leading him on.  Not at all.  If he’s got an ounce of sport in him, a small loss on the first throw makes him come back hard, to recover his money.”</w:t>
      </w:r>
      <w:r>
        <w:t xml:space="preserve">  This shows how much a potential mark like me knows; I have always thought that the sharpie lets the fool win a few to whet their appetite and then moves in for the kill.  Ignorance isn’t bliss.  </w:t>
      </w:r>
    </w:p>
  </w:endnote>
  <w:endnote w:id="26">
    <w:p w14:paraId="48F4B870" w14:textId="77777777" w:rsidR="003B5820" w:rsidRDefault="003B5820" w:rsidP="003B5820">
      <w:pPr>
        <w:pStyle w:val="EndnoteText"/>
      </w:pPr>
      <w:r>
        <w:rPr>
          <w:rStyle w:val="EndnoteReference"/>
        </w:rPr>
        <w:endnoteRef/>
      </w:r>
      <w:r>
        <w:t xml:space="preserve"> </w:t>
      </w:r>
      <w:r w:rsidRPr="005A0FC8">
        <w:t>1951 M 43: Saudi Arabia,</w:t>
      </w:r>
      <w:r>
        <w:t xml:space="preserve"> 47.  </w:t>
      </w:r>
    </w:p>
  </w:endnote>
  <w:endnote w:id="27">
    <w:p w14:paraId="6F547654" w14:textId="77777777" w:rsidR="003B5820" w:rsidRPr="002B7897" w:rsidRDefault="003B5820" w:rsidP="003B5820">
      <w:pPr>
        <w:pStyle w:val="EndnoteText"/>
      </w:pPr>
      <w:r>
        <w:rPr>
          <w:rStyle w:val="EndnoteReference"/>
        </w:rPr>
        <w:endnoteRef/>
      </w:r>
      <w:r>
        <w:t xml:space="preserve"> Irwin, </w:t>
      </w:r>
      <w:r>
        <w:rPr>
          <w:i/>
          <w:iCs/>
        </w:rPr>
        <w:t xml:space="preserve">Confessions, </w:t>
      </w:r>
      <w:r>
        <w:t>89, “</w:t>
      </w:r>
      <w:r w:rsidRPr="002B7897">
        <w:t>I learned one thing early-never give anything back unless you give it all back.  For if you do return a part it proves the weakness of your position, and the sucker howls harder for all the rest.  Moreover, the other suckers hear about it and you have to settle with them all.”</w:t>
      </w:r>
    </w:p>
  </w:endnote>
  <w:endnote w:id="28">
    <w:p w14:paraId="164C65F6" w14:textId="77777777" w:rsidR="003B5820" w:rsidRPr="002D621F" w:rsidRDefault="003B5820" w:rsidP="003B5820">
      <w:pPr>
        <w:pStyle w:val="EndnoteText"/>
      </w:pPr>
      <w:r>
        <w:rPr>
          <w:rStyle w:val="EndnoteReference"/>
        </w:rPr>
        <w:endnoteRef/>
      </w:r>
      <w:r>
        <w:t xml:space="preserve"> Irwin, </w:t>
      </w:r>
      <w:r>
        <w:rPr>
          <w:i/>
          <w:iCs/>
        </w:rPr>
        <w:t xml:space="preserve">Confessions, </w:t>
      </w:r>
      <w:r w:rsidRPr="002D621F">
        <w:t>88, 89 “The hardest part of my job, though, was stalling the weeping</w:t>
      </w:r>
      <w:r>
        <w:t xml:space="preserve"> </w:t>
      </w:r>
      <w:r w:rsidRPr="002D621F">
        <w:t>suckers who came around to demand their money back.  My methods varied with the man.  In</w:t>
      </w:r>
      <w:r>
        <w:t xml:space="preserve"> </w:t>
      </w:r>
      <w:r w:rsidRPr="002D621F">
        <w:t>the case of a big, blustering, cowardly fellow, a straight, swift punch in the jaw was sometimes the best medicine.  If he got me arrested for it I could always bring witnesses to show that he</w:t>
      </w:r>
      <w:r>
        <w:t xml:space="preserve"> </w:t>
      </w:r>
      <w:r w:rsidRPr="002D621F">
        <w:t>had started a disturbance and threatened me.  Sometimes I would laugh at my man, telling he</w:t>
      </w:r>
      <w:r>
        <w:t xml:space="preserve"> </w:t>
      </w:r>
      <w:r w:rsidRPr="002D621F">
        <w:t>got what he might expect.  Sometimes I’d sympathize, promise on behalf of the management that the affair would be looked into.</w:t>
      </w:r>
      <w:r>
        <w:t>”  124, “</w:t>
      </w:r>
      <w:r w:rsidRPr="002D621F">
        <w:t>And he wasn’t one of those ‘twenty-minute men’ who can’t hold a sucker after the touch.  No, Louis’ very best work came in tying up his man, in getting him to go away without making trouble.”</w:t>
      </w:r>
      <w:r>
        <w:t xml:space="preserve"> Also see 145. Gorham, </w:t>
      </w:r>
      <w:r>
        <w:rPr>
          <w:i/>
          <w:iCs/>
        </w:rPr>
        <w:t xml:space="preserve">Showmen, </w:t>
      </w:r>
      <w:r>
        <w:t xml:space="preserve"> 13-18 is a whole section on how disappointment is managed.  Later in life, he was involved in the introduction of TV in Ireland, so he must have had ideas about delivering less than expectations.   </w:t>
      </w:r>
    </w:p>
  </w:endnote>
  <w:endnote w:id="29">
    <w:p w14:paraId="0BF041FF" w14:textId="77777777" w:rsidR="003B5820" w:rsidRPr="00C73987" w:rsidRDefault="003B5820" w:rsidP="003B5820">
      <w:pPr>
        <w:pStyle w:val="EndnoteText"/>
      </w:pPr>
      <w:r>
        <w:rPr>
          <w:rStyle w:val="EndnoteReference"/>
        </w:rPr>
        <w:endnoteRef/>
      </w:r>
      <w:r>
        <w:t xml:space="preserve"> It is rarer in cons, Irwin, </w:t>
      </w:r>
      <w:r>
        <w:rPr>
          <w:i/>
          <w:iCs/>
        </w:rPr>
        <w:t xml:space="preserve">Confessions, </w:t>
      </w:r>
      <w:r w:rsidRPr="00C73987">
        <w:t xml:space="preserve">172 </w:t>
      </w:r>
      <w:r>
        <w:t>“</w:t>
      </w:r>
      <w:r w:rsidRPr="00C73987">
        <w:t>For the most part, while there is some occasional violence, a grafter would be a fool to use it, as there is so much money to be made without and it will definitely ruin the game.</w:t>
      </w:r>
      <w:r>
        <w:t>”  Intimidation certainly was used.</w:t>
      </w:r>
      <w:r w:rsidRPr="00C73987">
        <w:t xml:space="preserve">  </w:t>
      </w:r>
    </w:p>
  </w:endnote>
  <w:endnote w:id="30">
    <w:p w14:paraId="1B208CE2" w14:textId="77777777" w:rsidR="003B5820" w:rsidRDefault="003B5820" w:rsidP="003B5820">
      <w:pPr>
        <w:pStyle w:val="EndnoteText"/>
      </w:pPr>
      <w:r>
        <w:rPr>
          <w:rStyle w:val="EndnoteReference"/>
        </w:rPr>
        <w:endnoteRef/>
      </w:r>
      <w:r>
        <w:t xml:space="preserve"> A partial list of this approach is </w:t>
      </w:r>
      <w:r w:rsidRPr="000F4108">
        <w:t>1950 M 33: Jordan, 5</w:t>
      </w:r>
      <w:r>
        <w:t>;</w:t>
      </w:r>
      <w:r w:rsidRPr="000F4108">
        <w:t xml:space="preserve"> Pakistan, 17</w:t>
      </w:r>
      <w:r>
        <w:t xml:space="preserve">. </w:t>
      </w:r>
      <w:r w:rsidRPr="000F4108">
        <w:t>M 34: Syria, 15, 17</w:t>
      </w:r>
      <w:r>
        <w:t xml:space="preserve">. </w:t>
      </w:r>
      <w:r w:rsidRPr="000F4108">
        <w:t>M 61: Syria, 12</w:t>
      </w:r>
      <w:r>
        <w:t xml:space="preserve">.  </w:t>
      </w:r>
      <w:r w:rsidRPr="000F4108">
        <w:t>M 66: Iraq, 17</w:t>
      </w:r>
      <w:r>
        <w:t xml:space="preserve">.  </w:t>
      </w:r>
      <w:r w:rsidRPr="000F4108">
        <w:t>M 68: Iraq, 21</w:t>
      </w:r>
      <w:r>
        <w:t xml:space="preserve">. </w:t>
      </w:r>
      <w:r w:rsidRPr="000F4108">
        <w:t xml:space="preserve"> M 72: Iraq, 50.</w:t>
      </w:r>
      <w:r>
        <w:t xml:space="preserve">  </w:t>
      </w:r>
      <w:r w:rsidRPr="000F4108">
        <w:t>1951: M 43: France, 26</w:t>
      </w:r>
      <w:r>
        <w:t xml:space="preserve">.  </w:t>
      </w:r>
      <w:r w:rsidRPr="000F4108">
        <w:t>M 44: Egypt, 22</w:t>
      </w:r>
      <w:r>
        <w:t xml:space="preserve">.  </w:t>
      </w:r>
      <w:r w:rsidRPr="000F4108">
        <w:t>M 47: Syria, 23, 27.</w:t>
      </w:r>
      <w:r>
        <w:t xml:space="preserve">  </w:t>
      </w:r>
      <w:r w:rsidRPr="000F4108">
        <w:t>1952, M 4: Lebanon, 34</w:t>
      </w:r>
      <w:r>
        <w:t>;</w:t>
      </w:r>
      <w:r w:rsidRPr="000F4108">
        <w:t xml:space="preserve"> Egypt, 35</w:t>
      </w:r>
      <w:r>
        <w:t xml:space="preserve">.  </w:t>
      </w:r>
      <w:r w:rsidRPr="000F4108">
        <w:t>M 6: Iraq, 34</w:t>
      </w:r>
      <w:r>
        <w:t xml:space="preserve">.  </w:t>
      </w:r>
      <w:r w:rsidRPr="000F4108">
        <w:t>1953, M 25: US, 8</w:t>
      </w:r>
      <w:r>
        <w:t>;</w:t>
      </w:r>
      <w:r w:rsidRPr="000F4108">
        <w:t xml:space="preserve"> Egypt, 47</w:t>
      </w:r>
      <w:r>
        <w:t xml:space="preserve">.  </w:t>
      </w:r>
      <w:r w:rsidRPr="000F4108">
        <w:t>M 27: Syria, 6</w:t>
      </w:r>
      <w:r>
        <w:t xml:space="preserve">.  </w:t>
      </w:r>
      <w:r w:rsidRPr="000F4108">
        <w:t>M 28: Pakistan, 15.</w:t>
      </w:r>
      <w:r>
        <w:t xml:space="preserve">  </w:t>
      </w:r>
      <w:r w:rsidRPr="000F4108">
        <w:t>1954, M 31: Egypt, 8</w:t>
      </w:r>
      <w:r>
        <w:t xml:space="preserve">. </w:t>
      </w:r>
      <w:r w:rsidRPr="000F4108">
        <w:t>M 34, Iraq, 13, 16</w:t>
      </w:r>
      <w:r>
        <w:t xml:space="preserve">. </w:t>
      </w:r>
      <w:r w:rsidRPr="000F4108">
        <w:t>M 35: Jordan, 26.</w:t>
      </w:r>
      <w:r>
        <w:t xml:space="preserve">  </w:t>
      </w:r>
      <w:r w:rsidRPr="000F4108">
        <w:t>1955, M 14: Jordan, 15</w:t>
      </w:r>
      <w:r>
        <w:t>;</w:t>
      </w:r>
      <w:r w:rsidRPr="000F4108">
        <w:t xml:space="preserve"> Syria, 19, and here is an explicit military threat</w:t>
      </w:r>
      <w:r>
        <w:t>.</w:t>
      </w:r>
      <w:r w:rsidRPr="000F4108">
        <w:t xml:space="preserve">  M 18: Iraq, 29, 33</w:t>
      </w:r>
      <w:r>
        <w:t>.</w:t>
      </w:r>
    </w:p>
  </w:endnote>
  <w:endnote w:id="31">
    <w:p w14:paraId="4AC98B40" w14:textId="77777777" w:rsidR="003B5820" w:rsidRDefault="003B5820" w:rsidP="003B5820">
      <w:pPr>
        <w:pStyle w:val="EndnoteText"/>
      </w:pPr>
      <w:r>
        <w:rPr>
          <w:rStyle w:val="EndnoteReference"/>
        </w:rPr>
        <w:endnoteRef/>
      </w:r>
      <w:r>
        <w:t xml:space="preserve"> Some examples are </w:t>
      </w:r>
      <w:r w:rsidRPr="00EE771A">
        <w:t>1950 M 35: Iraq, 61, vs Canada</w:t>
      </w:r>
      <w:r>
        <w:t xml:space="preserve">.  </w:t>
      </w:r>
      <w:r w:rsidRPr="001C435B">
        <w:t xml:space="preserve">1953 M 28: Pakistan, 16, 17 </w:t>
      </w:r>
      <w:r>
        <w:t xml:space="preserve">  T</w:t>
      </w:r>
      <w:r w:rsidRPr="001C435B">
        <w:t xml:space="preserve">he whole speech, 14-25, </w:t>
      </w:r>
      <w:r>
        <w:t xml:space="preserve">singles out the US and New Zealand often by name.  </w:t>
      </w:r>
      <w:r w:rsidRPr="00EE771A">
        <w:t>1954, M 34: Iraq, 31, attack on the US after the US had retracted its point</w:t>
      </w:r>
      <w:r>
        <w:t>; M 36, Syria, 15 is much the same, but with rougher sarcasm, Lebanon, 22, is much the same;  M 38: Syria, 24, Yemen, 28, are to smack at the French and Netherlander delegations even though they had already finished voting and those delegations voted for the resolution that the Arab states had engineered.  He finished by calling their statements ‘unacceptable.’  For Cantril’s understanding of the use of force and threat of force to ensure that all have to make a choice to be in or out of the group, see p.263.</w:t>
      </w:r>
    </w:p>
  </w:endnote>
  <w:endnote w:id="32">
    <w:p w14:paraId="30EFE53A" w14:textId="77777777" w:rsidR="003B5820" w:rsidRDefault="003B5820" w:rsidP="003B5820">
      <w:pPr>
        <w:pStyle w:val="EndnoteText"/>
      </w:pPr>
      <w:r>
        <w:rPr>
          <w:rStyle w:val="EndnoteReference"/>
        </w:rPr>
        <w:endnoteRef/>
      </w:r>
      <w:r>
        <w:t xml:space="preserve"> A partial list of those making this call is: </w:t>
      </w:r>
      <w:r w:rsidRPr="0066571E">
        <w:t>1950 M 63: Iran, 17.</w:t>
      </w:r>
      <w:r>
        <w:t xml:space="preserve">  </w:t>
      </w:r>
      <w:r w:rsidRPr="0066571E">
        <w:t>M 67: Saudi Arabia, 39.</w:t>
      </w:r>
      <w:r>
        <w:t xml:space="preserve">  </w:t>
      </w:r>
      <w:r w:rsidRPr="0066571E">
        <w:t>1951 M 43: Saudi Arabia, 53.</w:t>
      </w:r>
      <w:r>
        <w:t xml:space="preserve">  </w:t>
      </w:r>
      <w:r w:rsidRPr="0066571E">
        <w:t>M 45: Representative of the Refugees, 26.</w:t>
      </w:r>
      <w:r>
        <w:t xml:space="preserve">  </w:t>
      </w:r>
      <w:r w:rsidRPr="0066571E">
        <w:t>1952, M 6: Iraq, 35.</w:t>
      </w:r>
      <w:r>
        <w:t xml:space="preserve">  </w:t>
      </w:r>
      <w:r w:rsidRPr="0066571E">
        <w:t>1953, M 28: Iraq, 10.</w:t>
      </w:r>
      <w:r>
        <w:t xml:space="preserve">  </w:t>
      </w:r>
      <w:r w:rsidRPr="0066571E">
        <w:t>1954, M 29: Lebanon, 42.</w:t>
      </w:r>
      <w:r>
        <w:t xml:space="preserve">  </w:t>
      </w:r>
      <w:r w:rsidRPr="0066571E">
        <w:t>M 31: Egypt, 8.</w:t>
      </w:r>
      <w:r>
        <w:t xml:space="preserve">  </w:t>
      </w:r>
      <w:r w:rsidRPr="0066571E">
        <w:t>M 32: Saudi Arabia, 33.</w:t>
      </w:r>
      <w:r>
        <w:t xml:space="preserve">  </w:t>
      </w:r>
      <w:r w:rsidRPr="0066571E">
        <w:t>M 33: Representative of the Refugees, 13.</w:t>
      </w:r>
      <w:r>
        <w:t xml:space="preserve">  </w:t>
      </w:r>
      <w:r w:rsidRPr="0066571E">
        <w:t xml:space="preserve">1955, M 14: Jordan, 1.  M 18: Afghanistan, 28; Iraq, 37. </w:t>
      </w:r>
      <w:r>
        <w:t xml:space="preserve">  </w:t>
      </w:r>
    </w:p>
  </w:endnote>
  <w:endnote w:id="33">
    <w:p w14:paraId="7E39A6C7" w14:textId="77777777" w:rsidR="003B5820" w:rsidRDefault="003B5820" w:rsidP="003B5820">
      <w:pPr>
        <w:pStyle w:val="EndnoteText"/>
      </w:pPr>
      <w:r>
        <w:rPr>
          <w:rStyle w:val="EndnoteReference"/>
        </w:rPr>
        <w:endnoteRef/>
      </w:r>
      <w:r>
        <w:t xml:space="preserve"> </w:t>
      </w:r>
      <w:r w:rsidRPr="00CC5196">
        <w:t xml:space="preserve">Kelsen, Hans, </w:t>
      </w:r>
      <w:r w:rsidRPr="00CC5196">
        <w:rPr>
          <w:i/>
          <w:iCs/>
        </w:rPr>
        <w:t>The Law of the United Nations: A Critical Analysis of its Fundamental Problems, with Supplement</w:t>
      </w:r>
      <w:r w:rsidRPr="00CC5196">
        <w:t>, London: Stevens and Sons Ltd, 1951</w:t>
      </w:r>
      <w:r>
        <w:t xml:space="preserve">, </w:t>
      </w:r>
      <w:r w:rsidRPr="00CC5196">
        <w:t>455 “What action is the General Assembly authorized to take with respect to disputes and other situations which are, in accordance with Articles 10, 11, or 14, under its consideration.  It has the power to discuss these disputes and situations and to make recommendations on them.”</w:t>
      </w:r>
      <w:r>
        <w:t xml:space="preserve">  </w:t>
      </w:r>
      <w:r w:rsidRPr="00CC5196">
        <w:t>459 “The legal effect of the recommendations made by the General Assembly is the same as that of the recommendations made by the Security Council.  They are not binding unless the Security Council considers non-compliance with a recommendation made by the Assembly as a threat to the peace under Article 39.  There is a difference only in so far as the General Assembly has not the power which the Security Council does have: to enforce its own recommendations.”</w:t>
      </w:r>
    </w:p>
  </w:endnote>
  <w:endnote w:id="34">
    <w:p w14:paraId="04C00FCA" w14:textId="77777777" w:rsidR="003B5820" w:rsidRPr="009F3B87" w:rsidRDefault="003B5820" w:rsidP="003B5820">
      <w:pPr>
        <w:pStyle w:val="EndnoteText"/>
      </w:pPr>
      <w:r>
        <w:rPr>
          <w:rStyle w:val="EndnoteReference"/>
        </w:rPr>
        <w:endnoteRef/>
      </w:r>
      <w:r>
        <w:t xml:space="preserve"> Kelsen, </w:t>
      </w:r>
      <w:r>
        <w:rPr>
          <w:i/>
          <w:iCs/>
        </w:rPr>
        <w:t xml:space="preserve">Law of the UN, </w:t>
      </w:r>
      <w:r w:rsidRPr="009F3B87">
        <w:t>195-6 “Recommendations, by their very nature, do not constitute a legal obligation to behave in conformity with them.”  Fn 8 here has, “[In the matter of 181] The representatives of Syria, Egypt and Lebanon denied expressly that the recommendations of the GA had any binding force upon its Members.”</w:t>
      </w:r>
      <w:r>
        <w:t xml:space="preserve">  In this case, the Arab states are picking and choosing the resolutions they like and dislike, and calling the former binding.  </w:t>
      </w:r>
    </w:p>
  </w:endnote>
  <w:endnote w:id="35">
    <w:p w14:paraId="572A76A6" w14:textId="77777777" w:rsidR="003B5820" w:rsidRDefault="003B5820" w:rsidP="003B5820">
      <w:pPr>
        <w:pStyle w:val="EndnoteText"/>
      </w:pPr>
      <w:r>
        <w:rPr>
          <w:rStyle w:val="EndnoteReference"/>
        </w:rPr>
        <w:endnoteRef/>
      </w:r>
      <w:r>
        <w:t xml:space="preserve"> The entirety of Herbert W. Briggs, “</w:t>
      </w:r>
      <w:r w:rsidRPr="00387422">
        <w:t>Implementation of the Proposed International Covenant</w:t>
      </w:r>
      <w:r>
        <w:t xml:space="preserve"> </w:t>
      </w:r>
      <w:r w:rsidRPr="00387422">
        <w:t>on Human Rights</w:t>
      </w:r>
      <w:r>
        <w:t xml:space="preserve">,” </w:t>
      </w:r>
      <w:r w:rsidRPr="00387422">
        <w:rPr>
          <w:i/>
        </w:rPr>
        <w:t xml:space="preserve">The American Journal of International Law </w:t>
      </w:r>
      <w:r w:rsidRPr="00387422">
        <w:t>42, No. 2 (Apr., 1948), pp. 389-397</w:t>
      </w:r>
      <w:r>
        <w:t xml:space="preserve"> makes this point, but it is available in one paragraph in </w:t>
      </w:r>
      <w:r w:rsidRPr="00387422">
        <w:t>Philip C. Jessup</w:t>
      </w:r>
      <w:r>
        <w:t xml:space="preserve">, </w:t>
      </w:r>
      <w:r w:rsidRPr="00387422">
        <w:t xml:space="preserve">Reviewed Work(s): </w:t>
      </w:r>
      <w:r w:rsidRPr="00387422">
        <w:rPr>
          <w:i/>
          <w:iCs/>
        </w:rPr>
        <w:t>An International Bill of the Rights of Man</w:t>
      </w:r>
      <w:r w:rsidRPr="00387422">
        <w:t>. by H. Lauterpacht</w:t>
      </w:r>
      <w:r>
        <w:t xml:space="preserve">, </w:t>
      </w:r>
      <w:r w:rsidRPr="00387422">
        <w:rPr>
          <w:i/>
        </w:rPr>
        <w:t xml:space="preserve">The American Journal of International Law </w:t>
      </w:r>
      <w:r w:rsidRPr="00387422">
        <w:t>39, No. 4 (Oct., 1945), p</w:t>
      </w:r>
      <w:r>
        <w:t xml:space="preserve">p 849-50.  </w:t>
      </w:r>
      <w:r w:rsidRPr="00225011">
        <w:t>.”</w:t>
      </w:r>
      <w:r>
        <w:t xml:space="preserve">  </w:t>
      </w:r>
      <w:r w:rsidRPr="00292916">
        <w:t xml:space="preserve">Martti Koskenniemi, “H. Lauterpacht, 1897-1960,” In Beatson, Jack and Zimmermann, Reinhard, </w:t>
      </w:r>
      <w:r w:rsidRPr="00292916">
        <w:rPr>
          <w:i/>
          <w:iCs/>
        </w:rPr>
        <w:t xml:space="preserve">Jurists Uprooted: German-Speaking Émigré-Lawyers in Twentieth-century Britain, </w:t>
      </w:r>
      <w:r w:rsidRPr="00292916">
        <w:t>Oxford: Oxford University Press, 2004</w:t>
      </w:r>
      <w:r>
        <w:t xml:space="preserve">, 646 has it this way: </w:t>
      </w:r>
      <w:r w:rsidRPr="00292916">
        <w:t>“States unanimously denied the legally binding force of the Declaration.</w:t>
      </w:r>
      <w:r>
        <w:t>”</w:t>
      </w:r>
      <w:r w:rsidRPr="00292916">
        <w:t xml:space="preserve">  </w:t>
      </w:r>
    </w:p>
  </w:endnote>
  <w:endnote w:id="36">
    <w:p w14:paraId="131695F9" w14:textId="77777777" w:rsidR="003B5820" w:rsidRDefault="003B5820" w:rsidP="003B5820">
      <w:pPr>
        <w:pStyle w:val="EndnoteText"/>
      </w:pPr>
      <w:r>
        <w:rPr>
          <w:rStyle w:val="EndnoteReference"/>
        </w:rPr>
        <w:endnoteRef/>
      </w:r>
      <w:r>
        <w:t xml:space="preserve"> As to the legal meaning of a Declaration, Oppenheim, </w:t>
      </w:r>
      <w:r>
        <w:rPr>
          <w:i/>
          <w:iCs/>
        </w:rPr>
        <w:t xml:space="preserve">International Law, Vol I, </w:t>
      </w:r>
      <w:r>
        <w:t xml:space="preserve">p 787 has </w:t>
      </w:r>
      <w:r w:rsidRPr="00225011">
        <w:t xml:space="preserve">“Thirdly, when States communicate to other States, or </w:t>
      </w:r>
      <w:r w:rsidRPr="00225011">
        <w:rPr>
          <w:i/>
          <w:iCs/>
        </w:rPr>
        <w:t>urbi et orbi</w:t>
      </w:r>
      <w:r>
        <w:rPr>
          <w:i/>
          <w:iCs/>
        </w:rPr>
        <w:t>,</w:t>
      </w:r>
      <w:r w:rsidRPr="00225011">
        <w:t xml:space="preserve"> an explanation or justification of a line of conduct pursued by them in the past, or an explanation of views and intentions concerning certain matters, this is called a declaration.  Declarations of this </w:t>
      </w:r>
      <w:r>
        <w:t xml:space="preserve">kind </w:t>
      </w:r>
      <w:r w:rsidRPr="00225011">
        <w:t>can may be very important, but they hardly comprise transactions out of which follow rights and duties of other States</w:t>
      </w:r>
      <w:r>
        <w:t>.”</w:t>
      </w:r>
      <w:r w:rsidRPr="00292916">
        <w:t xml:space="preserve"> </w:t>
      </w:r>
      <w:r>
        <w:t xml:space="preserve"> In this sense, a declaration is simply a way to state that all of us are agreed on the excellence of mom and apple pie.  </w:t>
      </w:r>
    </w:p>
  </w:endnote>
  <w:endnote w:id="37">
    <w:p w14:paraId="648438DD" w14:textId="77777777" w:rsidR="003B5820" w:rsidRDefault="003B5820" w:rsidP="003B5820">
      <w:pPr>
        <w:pStyle w:val="EndnoteText"/>
      </w:pPr>
      <w:r>
        <w:rPr>
          <w:rStyle w:val="EndnoteReference"/>
        </w:rPr>
        <w:endnoteRef/>
      </w:r>
      <w:r>
        <w:t xml:space="preserve"> Here, go back to whatever paper, perhaps sov? That has this and incl it.</w:t>
      </w:r>
    </w:p>
  </w:endnote>
  <w:endnote w:id="38">
    <w:p w14:paraId="3F865419" w14:textId="77777777" w:rsidR="003B5820" w:rsidRPr="00930222" w:rsidRDefault="003B5820" w:rsidP="003B5820">
      <w:pPr>
        <w:pStyle w:val="EndnoteText"/>
      </w:pPr>
      <w:r>
        <w:rPr>
          <w:rStyle w:val="EndnoteReference"/>
        </w:rPr>
        <w:endnoteRef/>
      </w:r>
      <w:r>
        <w:t xml:space="preserve">  Kelsen, </w:t>
      </w:r>
      <w:r>
        <w:rPr>
          <w:i/>
          <w:iCs/>
        </w:rPr>
        <w:t xml:space="preserve">Law of the UN, </w:t>
      </w:r>
      <w:r w:rsidRPr="00930222">
        <w:t>51-52 “The term ‘nations’ in the formula of the Preamble means probably states; the term ‘peoples’ in Article 1, paragraph 2, may have a different meaning; for in its connection with ‘self-determination’ it may mean not the state, but one of the elements of the state: the population.  Self-determination of the people usually designates a principle of internal policy, the principle of democratic government.  However, Article 1, paragraph 2, refers to the relations among states.  Therefore the term ‘peoples,’ too-in connection with ‘equal rights’-means probably states, since only states have ‘equal rights’ according to general international law.  That the Purpose of the Organization is to develop friendly relations among states based on respect for the principle of self-determination of ‘peoples’ does not mean that friendly relations among states depend on democratic form of government and that the purpose of the Organization is to favor such form of government.  This would not be compatible with the principle of ‘sovereign equality’ of the Members, nor with the principle of non-intervention in the domestic affairs established in Article 2, paragraph 7.  If the term ‘peoples’ in Article 1, paragraph 2, means the same as the term ‘nations’ in the Preamble, then ‘self-determination of peoples’ in Article 1 paragraph 2 , can mean only ‘sovereignty’ of the states.”</w:t>
      </w:r>
      <w:r>
        <w:t xml:space="preserve">  The only way to make this work is by assuming, as the UNGA often does, that Article 2/7 doesn’t apply to Israel.  </w:t>
      </w:r>
    </w:p>
  </w:endnote>
  <w:endnote w:id="39">
    <w:p w14:paraId="1F550672" w14:textId="77777777" w:rsidR="003B5820" w:rsidRDefault="003B5820" w:rsidP="003B5820">
      <w:pPr>
        <w:pStyle w:val="EndnoteText"/>
      </w:pPr>
      <w:r>
        <w:rPr>
          <w:rStyle w:val="EndnoteReference"/>
        </w:rPr>
        <w:endnoteRef/>
      </w:r>
      <w:r>
        <w:t xml:space="preserve"> This author has a paper on the failure and fate of group rights, then known as minority rights.  “Singled Out for Special Treatment: Minority Rights in the League of Nations and After” is available at rethinkingthearabzionist conflict.com.  The section on the UN’s rejection of these rights is 15-17.  </w:t>
      </w:r>
    </w:p>
  </w:endnote>
  <w:endnote w:id="40">
    <w:p w14:paraId="1BE50235" w14:textId="77777777" w:rsidR="003B5820" w:rsidRDefault="003B5820" w:rsidP="003B5820">
      <w:pPr>
        <w:pStyle w:val="EndnoteText"/>
      </w:pPr>
      <w:r>
        <w:rPr>
          <w:rStyle w:val="EndnoteReference"/>
        </w:rPr>
        <w:endnoteRef/>
      </w:r>
      <w:r>
        <w:t xml:space="preserve"> 1950, M 68: Pakistan, 26, “</w:t>
      </w:r>
      <w:r w:rsidRPr="001659E7">
        <w:t>Since reference had been made to the refugee problem in India and Pakistan, he expressed the hope that the experience of those two countries might help to solve the problem of the repatriation of Arab refugees. Both India and Pakistan deeply regretted the disturbances and upheavals which had occurred, and both had taken back a large number of refugees and rehabilitated them with government grants. At no time had either government contemplated action to block the bank accounts of refugees. After a series of conferences in connexion with refugees, millions of Hindus had returned to Pakistan and millions of Moslems had gone back to India, despite the fact that the two countries had been waging an undeclared war for several months. The Governments of Pakistan and India had never thought it proper to link the question of settlement of the refugee problem or their repatriation with any other issue outstanding between them. Both governments had agreed to rehabilitate returni</w:t>
      </w:r>
      <w:r>
        <w:t>n</w:t>
      </w:r>
      <w:r w:rsidRPr="001659E7">
        <w:t xml:space="preserve">g refugees by driving out temporary occupants, despite demonstrations by the temporary occupants. Each of the parties took action without waiting to see whether the other party acted immediately </w:t>
      </w:r>
      <w:r w:rsidRPr="001659E7">
        <w:rPr>
          <w:i/>
          <w:iCs/>
        </w:rPr>
        <w:t xml:space="preserve">to </w:t>
      </w:r>
      <w:r w:rsidRPr="001659E7">
        <w:t>implement t</w:t>
      </w:r>
      <w:r>
        <w:t>h</w:t>
      </w:r>
      <w:r w:rsidRPr="001659E7">
        <w:t>e decisions.</w:t>
      </w:r>
      <w:r>
        <w:t xml:space="preserve">”  In 31, the delegate from India accepted Pakistan’s description </w:t>
      </w:r>
      <w:r w:rsidRPr="001659E7">
        <w:t xml:space="preserve"> </w:t>
      </w:r>
      <w:r>
        <w:t xml:space="preserve">of the situation and treatment of refugees.  Indian ups the ante of hypocrisy by saying, 1955 M 21: 10, </w:t>
      </w:r>
      <w:r w:rsidRPr="00D137E9">
        <w:t>“The right of return to one's own country being a natural and human right, there was no need to consider to what extent repatriation derived its sanction from General Assembly resolutions.”</w:t>
      </w:r>
    </w:p>
  </w:endnote>
  <w:endnote w:id="41">
    <w:p w14:paraId="3B9266F9" w14:textId="77777777" w:rsidR="003B5820" w:rsidRPr="00A6024C" w:rsidRDefault="003B5820" w:rsidP="003B5820">
      <w:pPr>
        <w:pStyle w:val="EndnoteText"/>
        <w:rPr>
          <w:i/>
          <w:iCs/>
        </w:rPr>
      </w:pPr>
      <w:r>
        <w:rPr>
          <w:rStyle w:val="EndnoteReference"/>
        </w:rPr>
        <w:endnoteRef/>
      </w:r>
      <w:r>
        <w:t xml:space="preserve"> A good source from the time is </w:t>
      </w:r>
      <w:r w:rsidRPr="00E061C0">
        <w:t xml:space="preserve">Alexander, Horace, </w:t>
      </w:r>
      <w:r w:rsidRPr="00E061C0">
        <w:rPr>
          <w:i/>
          <w:iCs/>
        </w:rPr>
        <w:t xml:space="preserve">New Citizens of India, </w:t>
      </w:r>
      <w:r w:rsidRPr="00E061C0">
        <w:t>London: Oxford</w:t>
      </w:r>
      <w:r>
        <w:t xml:space="preserve"> </w:t>
      </w:r>
      <w:r w:rsidRPr="00E061C0">
        <w:t>University Press, 1951</w:t>
      </w:r>
      <w:r>
        <w:t xml:space="preserve">.  He cites no cases of returnees.  Among modern scholars, two stand out for covering this: </w:t>
      </w:r>
      <w:r w:rsidRPr="007D533D">
        <w:t xml:space="preserve">Haimanti Roy, </w:t>
      </w:r>
      <w:r w:rsidRPr="007D533D">
        <w:rPr>
          <w:i/>
          <w:iCs/>
        </w:rPr>
        <w:t xml:space="preserve">Partitioned Lives: Migrants, Refugees, Citizens in Indian and Pakistan, 1947-1965, </w:t>
      </w:r>
      <w:r w:rsidRPr="007D533D">
        <w:t>New Delhi: Oxford University Press, 2012</w:t>
      </w:r>
      <w:r>
        <w:t xml:space="preserve"> and </w:t>
      </w:r>
      <w:r w:rsidRPr="007D533D">
        <w:t>Vazira Fazila-Yacoobali</w:t>
      </w:r>
      <w:r>
        <w:t xml:space="preserve"> </w:t>
      </w:r>
      <w:r w:rsidRPr="007D533D">
        <w:t xml:space="preserve">Zamindar,  </w:t>
      </w:r>
      <w:r w:rsidRPr="007D533D">
        <w:rPr>
          <w:i/>
          <w:iCs/>
        </w:rPr>
        <w:t xml:space="preserve">The Long Partition and the Making of Modern South Asia: Refugees, Boundaries, Histories, </w:t>
      </w:r>
      <w:r w:rsidRPr="007D533D">
        <w:t>New York: Columbia University Press, 2007</w:t>
      </w:r>
      <w:r>
        <w:t>.</w:t>
      </w:r>
    </w:p>
  </w:endnote>
  <w:endnote w:id="42">
    <w:p w14:paraId="7A852F60" w14:textId="77777777" w:rsidR="003B5820" w:rsidRPr="003D3EE5" w:rsidRDefault="003B5820" w:rsidP="003B5820">
      <w:pPr>
        <w:pStyle w:val="EndnoteText"/>
      </w:pPr>
      <w:r>
        <w:rPr>
          <w:rStyle w:val="EndnoteReference"/>
        </w:rPr>
        <w:endnoteRef/>
      </w:r>
      <w:r>
        <w:t xml:space="preserve"> Zamindar, </w:t>
      </w:r>
      <w:r>
        <w:rPr>
          <w:i/>
          <w:iCs/>
        </w:rPr>
        <w:t xml:space="preserve">Long Partition, </w:t>
      </w:r>
      <w:r>
        <w:t xml:space="preserve">6 for the 20 million number, 86 for the number of Muslim returnees, 82 for dates of legislation.  On 169, she comments on the results of the Nehru-Liaqat Pact of April, 1950, saying </w:t>
      </w:r>
      <w:r w:rsidRPr="000E4870">
        <w:t>“It seems that only about 23,000 people were able to return out of the 95,000 that had registered to do so.”</w:t>
      </w:r>
      <w:r>
        <w:t xml:space="preserve">  Roy, </w:t>
      </w:r>
      <w:r>
        <w:rPr>
          <w:i/>
          <w:iCs/>
        </w:rPr>
        <w:t xml:space="preserve">Partitioned Lives, </w:t>
      </w:r>
      <w:r>
        <w:t xml:space="preserve">is less specific, but in an overview, 136-37 certainly agrees that India did its best to keep Muslims from returning.  I can find no evidence in either book that governments forced people out of residences they had occupied so that returnees could move back in, and plenty of evidence, including legislation and political pressure, for the opposite.  </w:t>
      </w:r>
    </w:p>
  </w:endnote>
  <w:endnote w:id="43">
    <w:p w14:paraId="62777CAB" w14:textId="77777777" w:rsidR="003B5820" w:rsidRDefault="003B5820" w:rsidP="003B5820">
      <w:pPr>
        <w:pStyle w:val="EndnoteText"/>
        <w:spacing w:before="100" w:after="100"/>
        <w:contextualSpacing/>
      </w:pPr>
      <w:r>
        <w:rPr>
          <w:rStyle w:val="EndnoteReference"/>
        </w:rPr>
        <w:endnoteRef/>
      </w:r>
      <w:r>
        <w:t xml:space="preserve"> The quote is 1955, M 22 Iraq, 11.  A partial list of those making this point: </w:t>
      </w:r>
    </w:p>
    <w:p w14:paraId="1CF6A3A2" w14:textId="77777777" w:rsidR="003B5820" w:rsidRPr="00EF3FD3" w:rsidRDefault="003B5820" w:rsidP="003B5820">
      <w:pPr>
        <w:pStyle w:val="EndnoteText"/>
        <w:spacing w:before="100" w:after="100"/>
        <w:contextualSpacing/>
      </w:pPr>
      <w:r w:rsidRPr="00EF3FD3">
        <w:t xml:space="preserve">1950 M 62: Saudi Arabia, 6; Pakistan, 23, 25. </w:t>
      </w:r>
      <w:r>
        <w:t xml:space="preserve"> </w:t>
      </w:r>
      <w:r w:rsidRPr="00EF3FD3">
        <w:t>M 63: Syria, 30.</w:t>
      </w:r>
      <w:r>
        <w:t xml:space="preserve"> </w:t>
      </w:r>
      <w:r w:rsidRPr="00EF3FD3">
        <w:t>M 66: Pakistan, 75.</w:t>
      </w:r>
      <w:r>
        <w:t xml:space="preserve"> </w:t>
      </w:r>
      <w:r w:rsidRPr="00EF3FD3">
        <w:t xml:space="preserve">M 67: Lebanon, 21. </w:t>
      </w:r>
      <w:r>
        <w:t xml:space="preserve"> </w:t>
      </w:r>
      <w:r w:rsidRPr="00EF3FD3">
        <w:t>M 69: Lebanon, 10.</w:t>
      </w:r>
      <w:r>
        <w:t xml:space="preserve">  </w:t>
      </w:r>
      <w:r w:rsidRPr="00EF3FD3">
        <w:t>M 71: Jordan, 7.</w:t>
      </w:r>
    </w:p>
    <w:p w14:paraId="3CF04CD4" w14:textId="77777777" w:rsidR="003B5820" w:rsidRDefault="003B5820" w:rsidP="003B5820">
      <w:pPr>
        <w:pStyle w:val="EndnoteText"/>
        <w:spacing w:before="100" w:after="100"/>
        <w:contextualSpacing/>
      </w:pPr>
      <w:r w:rsidRPr="00EF3FD3">
        <w:t>1953, M 29: Saudi Arabia, 27.</w:t>
      </w:r>
    </w:p>
    <w:p w14:paraId="69C025B9" w14:textId="77777777" w:rsidR="003B5820" w:rsidRDefault="003B5820" w:rsidP="003B5820">
      <w:pPr>
        <w:pStyle w:val="EndnoteText"/>
        <w:spacing w:before="100" w:after="100"/>
        <w:contextualSpacing/>
      </w:pPr>
      <w:r w:rsidRPr="00EF3FD3">
        <w:t>1954, M 32: Saudi Arabia, 31.</w:t>
      </w:r>
      <w:r>
        <w:t xml:space="preserve">  </w:t>
      </w:r>
      <w:r w:rsidRPr="00EF3FD3">
        <w:t>M 33: Representative of the Refugees, 13; Yemen, 40.</w:t>
      </w:r>
      <w:r>
        <w:t xml:space="preserve">  </w:t>
      </w:r>
      <w:r w:rsidRPr="00EF3FD3">
        <w:t>M 34: Iraq, 30.</w:t>
      </w:r>
      <w:r>
        <w:t xml:space="preserve">  </w:t>
      </w:r>
    </w:p>
    <w:p w14:paraId="0B7419B4" w14:textId="77777777" w:rsidR="003B5820" w:rsidRPr="00EF3FD3" w:rsidRDefault="003B5820" w:rsidP="003B5820">
      <w:pPr>
        <w:pStyle w:val="EndnoteText"/>
        <w:spacing w:before="100" w:after="100"/>
        <w:contextualSpacing/>
      </w:pPr>
      <w:r w:rsidRPr="00EF3FD3">
        <w:t>M 36: Syria, 11.</w:t>
      </w:r>
    </w:p>
    <w:p w14:paraId="000ACCA9" w14:textId="77777777" w:rsidR="003B5820" w:rsidRDefault="003B5820" w:rsidP="003B5820">
      <w:pPr>
        <w:pStyle w:val="EndnoteText"/>
        <w:spacing w:before="100" w:after="100"/>
        <w:contextualSpacing/>
      </w:pPr>
      <w:r w:rsidRPr="00EF3FD3">
        <w:t>1955, M 17: Saudi Arabia, 7.  M 18: Lebanon, 18</w:t>
      </w:r>
      <w:r>
        <w:t>;</w:t>
      </w:r>
      <w:r w:rsidRPr="00EF3FD3">
        <w:t xml:space="preserve"> Iraq, 36.  M 19: Yemen, 20</w:t>
      </w:r>
      <w:r>
        <w:t xml:space="preserve">.  </w:t>
      </w:r>
      <w:r w:rsidRPr="00EF3FD3">
        <w:t>M 22: Iraq, 11, 14.  M 23: Iraq, 31</w:t>
      </w:r>
      <w:r>
        <w:t>.</w:t>
      </w:r>
    </w:p>
    <w:p w14:paraId="395A20B3" w14:textId="77777777" w:rsidR="003B5820" w:rsidRDefault="003B5820" w:rsidP="003B5820">
      <w:pPr>
        <w:pStyle w:val="EndnoteText"/>
        <w:spacing w:before="100" w:after="100"/>
        <w:contextualSpacing/>
      </w:pPr>
    </w:p>
  </w:endnote>
  <w:endnote w:id="44">
    <w:p w14:paraId="51A53A6F" w14:textId="77777777" w:rsidR="003B5820" w:rsidRDefault="003B5820" w:rsidP="003B5820">
      <w:pPr>
        <w:pStyle w:val="EndnoteText"/>
        <w:spacing w:before="100" w:after="100"/>
        <w:contextualSpacing/>
      </w:pPr>
      <w:r>
        <w:rPr>
          <w:rStyle w:val="EndnoteReference"/>
        </w:rPr>
        <w:endnoteRef/>
      </w:r>
      <w:r>
        <w:t xml:space="preserve"> </w:t>
      </w:r>
      <w:r w:rsidRPr="003F5BAD">
        <w:t xml:space="preserve">L. Oppenheim, </w:t>
      </w:r>
      <w:r w:rsidRPr="003F5BAD">
        <w:rPr>
          <w:i/>
        </w:rPr>
        <w:t xml:space="preserve">International Law: A Treatise, Vol I, Peace, </w:t>
      </w:r>
      <w:r w:rsidRPr="003F5BAD">
        <w:rPr>
          <w:iCs/>
        </w:rPr>
        <w:t xml:space="preserve">Seventh edition, </w:t>
      </w:r>
      <w:r w:rsidRPr="003F5BAD">
        <w:t>edited by H</w:t>
      </w:r>
      <w:r>
        <w:t>.</w:t>
      </w:r>
      <w:r w:rsidRPr="003F5BAD">
        <w:t xml:space="preserve"> Lauterpacht, London: Longmans, Green and Co, 1948</w:t>
      </w:r>
      <w:r>
        <w:t xml:space="preserve"> covers treaties in a long chapter, 791-862.  Treaties as contracts between states is on 791, only states may agree to treaties is 795, </w:t>
      </w:r>
      <w:r w:rsidRPr="001F11EC">
        <w:t>“A state possesses, therefore, treaty-making power only in so far as it is sovereign.”</w:t>
      </w:r>
      <w:r>
        <w:t xml:space="preserve">  </w:t>
      </w:r>
    </w:p>
  </w:endnote>
  <w:endnote w:id="45">
    <w:p w14:paraId="4ABF9FC5" w14:textId="77777777" w:rsidR="003B5820" w:rsidRDefault="003B5820" w:rsidP="003B5820">
      <w:pPr>
        <w:pStyle w:val="EndnoteText"/>
      </w:pPr>
      <w:r>
        <w:rPr>
          <w:rStyle w:val="EndnoteReference"/>
        </w:rPr>
        <w:endnoteRef/>
      </w:r>
      <w:r>
        <w:t xml:space="preserve"> Ibid. 805.</w:t>
      </w:r>
    </w:p>
  </w:endnote>
  <w:endnote w:id="46">
    <w:p w14:paraId="3461348A" w14:textId="77777777" w:rsidR="003B5820" w:rsidRDefault="003B5820" w:rsidP="003B5820">
      <w:pPr>
        <w:pStyle w:val="EndnoteText"/>
        <w:spacing w:before="100" w:after="100"/>
        <w:contextualSpacing/>
      </w:pPr>
      <w:r>
        <w:rPr>
          <w:rStyle w:val="EndnoteReference"/>
        </w:rPr>
        <w:endnoteRef/>
      </w:r>
      <w:r>
        <w:t xml:space="preserve"> Ibid. 844-45 for a basic understanding of this.  But then, almost all of the writers on international law at the time were touching on this in most of their works; it is fundamental to the basic problem of ‘peaceful change’.   </w:t>
      </w:r>
    </w:p>
  </w:endnote>
  <w:endnote w:id="47">
    <w:p w14:paraId="10296229" w14:textId="77777777" w:rsidR="003B5820" w:rsidRDefault="003B5820" w:rsidP="003B5820">
      <w:pPr>
        <w:pStyle w:val="EndnoteText"/>
        <w:spacing w:before="100" w:after="100"/>
        <w:contextualSpacing/>
      </w:pPr>
      <w:r>
        <w:rPr>
          <w:rStyle w:val="EndnoteReference"/>
        </w:rPr>
        <w:endnoteRef/>
      </w:r>
      <w:r>
        <w:t xml:space="preserve"> Ibid. 852-53.</w:t>
      </w:r>
    </w:p>
  </w:endnote>
  <w:endnote w:id="48">
    <w:p w14:paraId="1EA77213" w14:textId="77777777" w:rsidR="003B5820" w:rsidRDefault="003B5820" w:rsidP="003B5820">
      <w:pPr>
        <w:pStyle w:val="EndnoteText"/>
        <w:spacing w:before="100" w:after="100"/>
        <w:contextualSpacing/>
      </w:pPr>
      <w:r>
        <w:rPr>
          <w:rStyle w:val="EndnoteReference"/>
        </w:rPr>
        <w:endnoteRef/>
      </w:r>
      <w:r>
        <w:t xml:space="preserve"> The effect of war on treaties is in vol II, </w:t>
      </w:r>
      <w:r>
        <w:rPr>
          <w:i/>
          <w:iCs/>
        </w:rPr>
        <w:t>War,</w:t>
      </w:r>
      <w:r>
        <w:t xml:space="preserve"> of Oppenheim, 6</w:t>
      </w:r>
      <w:r w:rsidRPr="002D17C0">
        <w:rPr>
          <w:vertAlign w:val="superscript"/>
        </w:rPr>
        <w:t>th</w:t>
      </w:r>
      <w:r>
        <w:t xml:space="preserve"> edition, 1944, 243-47.  </w:t>
      </w:r>
    </w:p>
  </w:endnote>
  <w:endnote w:id="49">
    <w:p w14:paraId="18CFF8B4" w14:textId="77777777" w:rsidR="003B5820" w:rsidRDefault="003B5820" w:rsidP="003B5820">
      <w:pPr>
        <w:pStyle w:val="EndnoteText"/>
      </w:pPr>
      <w:r>
        <w:rPr>
          <w:rStyle w:val="EndnoteReference"/>
        </w:rPr>
        <w:endnoteRef/>
      </w:r>
      <w:r>
        <w:t xml:space="preserve"> Some of the states pointing out that these sorts of actions are only prerequisites to the start of the negotiations but in no way will settle the conflict on their own: </w:t>
      </w:r>
      <w:r w:rsidRPr="009A1381">
        <w:t>1950 M 62: Pakistan, 38</w:t>
      </w:r>
      <w:r>
        <w:t>;</w:t>
      </w:r>
      <w:r w:rsidRPr="009A1381">
        <w:t xml:space="preserve"> Egypt, 41 (he says Saud Arabia has also said it)</w:t>
      </w:r>
      <w:r>
        <w:t xml:space="preserve">.  </w:t>
      </w:r>
      <w:r w:rsidRPr="009A1381">
        <w:t>M 63: Syria 23</w:t>
      </w:r>
      <w:r>
        <w:t xml:space="preserve">. </w:t>
      </w:r>
      <w:r w:rsidRPr="009A1381">
        <w:t xml:space="preserve"> M 66: Pakistan 77.</w:t>
      </w:r>
      <w:r>
        <w:t xml:space="preserve">  </w:t>
      </w:r>
      <w:r w:rsidRPr="009A1381">
        <w:t>M 67: Indonesia, 47</w:t>
      </w:r>
      <w:r>
        <w:t xml:space="preserve">.  </w:t>
      </w:r>
      <w:r w:rsidRPr="009A1381">
        <w:t>M 69: Syria, 18. Iraq, 23.</w:t>
      </w:r>
      <w:r>
        <w:t xml:space="preserve">  </w:t>
      </w:r>
      <w:r w:rsidRPr="009A1381">
        <w:t>M 70: Egypt, 17, 21.  Israel, 37</w:t>
      </w:r>
      <w:r>
        <w:t xml:space="preserve">, affirming that this is the message they have gotten.  </w:t>
      </w:r>
    </w:p>
  </w:endnote>
  <w:endnote w:id="50">
    <w:p w14:paraId="7D84D4E6" w14:textId="77777777" w:rsidR="003B5820" w:rsidRDefault="003B5820" w:rsidP="003B5820">
      <w:pPr>
        <w:pStyle w:val="EndnoteText"/>
      </w:pPr>
      <w:r>
        <w:rPr>
          <w:rStyle w:val="EndnoteReference"/>
        </w:rPr>
        <w:endnoteRef/>
      </w:r>
      <w:r>
        <w:t xml:space="preserve">  A  selection of some of what is available in this category:  </w:t>
      </w:r>
      <w:r w:rsidRPr="007D28A7">
        <w:t>1950 M 31: Egy</w:t>
      </w:r>
      <w:r>
        <w:t>pt</w:t>
      </w:r>
      <w:r w:rsidRPr="007D28A7">
        <w:t xml:space="preserve"> 34. M 34: Syria, 15 “The Syrian delegation did not wish to trouble the consciences of those governments which were responsible for a situation which was so dangerous to the peace and stability of one whole region of the world. He would merely point out that the cruelty shown by the Jews had surpassed in horror all the persecution known to history, and that the refusal of the Jewish authorities to let the Arabs return to their own homes was equally cruel.” M 61</w:t>
      </w:r>
      <w:r>
        <w:t>:</w:t>
      </w:r>
      <w:r w:rsidRPr="007D28A7">
        <w:t xml:space="preserve"> Iraq, 51</w:t>
      </w:r>
      <w:r>
        <w:t xml:space="preserve">. </w:t>
      </w:r>
      <w:r w:rsidRPr="007D28A7">
        <w:t>M 62: Pak</w:t>
      </w:r>
      <w:r>
        <w:t>istan</w:t>
      </w:r>
      <w:r w:rsidRPr="007D28A7">
        <w:t>, 29, 34</w:t>
      </w:r>
      <w:r>
        <w:t>,</w:t>
      </w:r>
      <w:r w:rsidRPr="007D28A7">
        <w:t xml:space="preserve"> M 68</w:t>
      </w:r>
      <w:r>
        <w:t>:</w:t>
      </w:r>
      <w:r w:rsidRPr="007D28A7">
        <w:t xml:space="preserve"> Syr, 35 </w:t>
      </w:r>
      <w:r>
        <w:t>Israel</w:t>
      </w:r>
      <w:r w:rsidRPr="007D28A7">
        <w:t xml:space="preserve"> wants a peace shaped by a victory</w:t>
      </w:r>
      <w:r>
        <w:t xml:space="preserve">, and this is somehow anomalous.  </w:t>
      </w:r>
      <w:r w:rsidRPr="007D28A7">
        <w:t>1951 M 44: Leb</w:t>
      </w:r>
      <w:r>
        <w:t>anon</w:t>
      </w:r>
      <w:r w:rsidRPr="007D28A7">
        <w:t xml:space="preserve">, 7 “Exile was a penalty almost as serious as death, and the exile of one man was a lesser tragedy than that of a whole people. It was alarming to find the State of Israel, whose citizens had suffered so much in the past, and had known exile and persecution, inflicting the same sufferings on the Arab refugees. </w:t>
      </w:r>
      <w:r>
        <w:t xml:space="preserve">  </w:t>
      </w:r>
      <w:r w:rsidRPr="007D28A7">
        <w:t>1952, M 6: Iraq, 33, “Mr. AL-JAMALI (Iraq) said that the situation of the Palestine refugees was a tragedy far greater than those precipitated throughout history by wars and tyranny, …”</w:t>
      </w:r>
      <w:r>
        <w:t xml:space="preserve">. </w:t>
      </w:r>
      <w:r w:rsidRPr="007D28A7">
        <w:t>1953 M 28: Iraq, 3, “Mr. KHALIDY (Iraq) said that the situation of the Palestine refugees was the world's greatest tragedy.”  M 29</w:t>
      </w:r>
      <w:r>
        <w:t>:</w:t>
      </w:r>
      <w:r w:rsidRPr="007D28A7">
        <w:t xml:space="preserve"> Saudi Arabia, 30. “The United States and other delegations had opposed postponement of Israel's admission as a Member of the United Nations in their confidence that the infant State, having suffered so long from injustice, would show itself generous and just; but in fact it had quickly turned into a twentieth-century Jinn, with no more respect for the resolutions and requests of its bene- factors than it had for the laws of God or of the community of nations; its lust for power had become uncontrollable and even Jews had declared that it had violated the Jewish moral code and the laws of Moses.”  “Its [Israel’s] uncontrollable ambitions were due to the actions and inaction of those States which had brought it into existence.”  1954, M 29: Lebanon, 27, “the consequence of one of the most flagrant injustices in the history of man,”  M 32: Saudi Arabia, 17 “…inhuman attitude of the Jews in Israel…”,  28 “Attempts had been made by those who had usurped the property of the Arab refugees to lend their wrongful act some semblance of humanity.” 36 “As a result of international Zionist control and influence, most of the international information media had been silenced…” 37 continues this.</w:t>
      </w:r>
      <w:r>
        <w:t xml:space="preserve">  </w:t>
      </w:r>
      <w:r w:rsidRPr="007D28A7">
        <w:t>M 33: Yemen, 42, “inhuman measures”.</w:t>
      </w:r>
      <w:r>
        <w:t xml:space="preserve">  </w:t>
      </w:r>
      <w:r w:rsidRPr="007D28A7">
        <w:t>M 36, Syria, 16, Israeli propaganda machine</w:t>
      </w:r>
      <w:r>
        <w:t xml:space="preserve">, 19 </w:t>
      </w:r>
      <w:r w:rsidRPr="006059B4">
        <w:t>“…then the greatest crime imaginable had been perpetrated.”</w:t>
      </w:r>
      <w:r w:rsidRPr="007D28A7">
        <w:t>; Lebanon, 32, Western Powers dominated by Z</w:t>
      </w:r>
      <w:r>
        <w:t>ionists</w:t>
      </w:r>
      <w:r w:rsidRPr="007D28A7">
        <w:t xml:space="preserve"> and can’t resist, but this is entirely again about guilt and expiation, making the ‘moral’ choice and </w:t>
      </w:r>
      <w:r>
        <w:t>rejecting</w:t>
      </w:r>
      <w:r w:rsidRPr="007D28A7">
        <w:t xml:space="preserve"> Israel</w:t>
      </w:r>
      <w:r>
        <w:t>.</w:t>
      </w:r>
      <w:r w:rsidRPr="007D28A7">
        <w:t xml:space="preserve"> </w:t>
      </w:r>
      <w:r>
        <w:t xml:space="preserve">  </w:t>
      </w:r>
      <w:r w:rsidRPr="007D28A7">
        <w:t>1955,  M 16: Egypt, 2,</w:t>
      </w:r>
      <w:r>
        <w:t xml:space="preserve"> </w:t>
      </w:r>
      <w:r w:rsidRPr="007D28A7">
        <w:t>makes it a case alone in history; M 17: Saudi Arabia, 12, “His delegation had consistently emphasized that the problem of the Palestine refugees was unique in history,…”  M 17: Saudi Arabia, 10</w:t>
      </w:r>
      <w:r>
        <w:t>, about Jews and money</w:t>
      </w:r>
      <w:r w:rsidRPr="007D28A7">
        <w:t>., 12 “The Western world, which had been deceived by Zionist propaganda…”  19, 27 “No other nation than Israel could have usurped and abused so much property belonging to another people without causing a stir in international circles and in the Press, least of all if the people wronged were Jews.” 31 “It was precisely that kind of emotional approach to the Jewish refugee problem which the Zionists had made and which had precipitated in Palestine a solution so fantastically and irresponsibly illogical that no human could imagine it.”</w:t>
      </w:r>
      <w:r>
        <w:t xml:space="preserve">  </w:t>
      </w:r>
      <w:r w:rsidRPr="007D28A7">
        <w:t>M 21: Syria, 37 “acts of unspeakable savagery…”</w:t>
      </w:r>
      <w:r>
        <w:t xml:space="preserve">  </w:t>
      </w:r>
      <w:r w:rsidRPr="007D28A7">
        <w:t>M 22: Iraq, 8 “Such an argument [made by the Israeli delegate] struck at the very root of all morality.”</w:t>
      </w:r>
      <w:r>
        <w:t xml:space="preserve">  </w:t>
      </w:r>
      <w:r w:rsidRPr="007D28A7">
        <w:t>M 18: Iraq, 30-2, Jews are enemies of world peace  31 “Zionism was an aggressive political movement, founded on racial and religious discrimination and intolerance ; it was a movement that the Arabs abhorred and rejected as an enemy of peace and humanity.”</w:t>
      </w:r>
      <w:r>
        <w:t xml:space="preserve">  This is separate from the state speaking to the point that Israel doesn’t have the same rights as other states, which is also a long list.  </w:t>
      </w:r>
    </w:p>
  </w:endnote>
  <w:endnote w:id="51">
    <w:p w14:paraId="6BE86EA4" w14:textId="77777777" w:rsidR="003B5820" w:rsidRDefault="003B5820" w:rsidP="003B5820">
      <w:pPr>
        <w:pStyle w:val="EndnoteText"/>
      </w:pPr>
      <w:r>
        <w:rPr>
          <w:rStyle w:val="EndnoteReference"/>
        </w:rPr>
        <w:endnoteRef/>
      </w:r>
      <w:r>
        <w:t xml:space="preserve"> </w:t>
      </w:r>
      <w:r w:rsidRPr="0003382D">
        <w:t>David</w:t>
      </w:r>
      <w:r>
        <w:t xml:space="preserve"> </w:t>
      </w:r>
      <w:r w:rsidRPr="0003382D">
        <w:t xml:space="preserve">Nirenberg, </w:t>
      </w:r>
      <w:r w:rsidRPr="0003382D">
        <w:rPr>
          <w:i/>
          <w:iCs/>
        </w:rPr>
        <w:t xml:space="preserve">Anti-Judaism: The Western Tradition, </w:t>
      </w:r>
      <w:r w:rsidRPr="0003382D">
        <w:t>New York, New York: W. W. Norton &amp; Co, 2013</w:t>
      </w:r>
      <w:r>
        <w:t xml:space="preserve"> is the book that distinguishes between the two. </w:t>
      </w:r>
    </w:p>
  </w:endnote>
  <w:endnote w:id="52">
    <w:p w14:paraId="4EE989C8" w14:textId="77777777" w:rsidR="003B5820" w:rsidRPr="00A27F8E" w:rsidRDefault="003B5820" w:rsidP="003B5820">
      <w:pPr>
        <w:contextualSpacing/>
        <w:rPr>
          <w:sz w:val="20"/>
          <w:szCs w:val="20"/>
        </w:rPr>
      </w:pPr>
      <w:r>
        <w:rPr>
          <w:rStyle w:val="EndnoteReference"/>
        </w:rPr>
        <w:endnoteRef/>
      </w:r>
      <w:r>
        <w:t xml:space="preserve"> </w:t>
      </w:r>
      <w:r w:rsidRPr="00A27F8E">
        <w:rPr>
          <w:sz w:val="20"/>
          <w:szCs w:val="20"/>
        </w:rPr>
        <w:t>An incomplete list of such references is: 1950</w:t>
      </w:r>
      <w:r>
        <w:t xml:space="preserve"> </w:t>
      </w:r>
      <w:r w:rsidRPr="00D36EE9">
        <w:rPr>
          <w:sz w:val="20"/>
          <w:szCs w:val="20"/>
        </w:rPr>
        <w:t xml:space="preserve">M 35: Iraq, 65, “He asked the Director [of UNRWA] to </w:t>
      </w:r>
      <w:r w:rsidRPr="00A27F8E">
        <w:rPr>
          <w:sz w:val="20"/>
          <w:szCs w:val="20"/>
        </w:rPr>
        <w:t xml:space="preserve">state whether, in his opinion, the living conditions of the Palestine refugees in camps were not as bad as those which had prevailed in Hitler's concentration camps.”  M 61: Iraq 54, “The attitude of the Jewish authorities toward the natural right of the Arabs to their own homes was aggressive and reminiscent of Nazi ideology.”  59 “The Jews must abandon the militant attitude derived from Nazi Germany, cease their persecution of the Arab refugees, recognize Arab rights in Palestine, abandon their aggressive designs and learn to live with other people.” </w:t>
      </w:r>
    </w:p>
    <w:p w14:paraId="70578F67" w14:textId="77777777" w:rsidR="003B5820" w:rsidRPr="00A27F8E" w:rsidRDefault="003B5820" w:rsidP="003B5820">
      <w:pPr>
        <w:contextualSpacing/>
        <w:rPr>
          <w:sz w:val="20"/>
          <w:szCs w:val="20"/>
        </w:rPr>
      </w:pPr>
      <w:r w:rsidRPr="00A27F8E">
        <w:rPr>
          <w:sz w:val="20"/>
          <w:szCs w:val="20"/>
        </w:rPr>
        <w:t>M 62:.  Egy, 44, “When the plan for the partition of Palestine had been adopted on 29 November 1947, the Zionists had resolved to get rid of the Arabs living in the territory granted to the Jewish State. They had stuck at nothing in pursuit of that aim and had carried out persecutions as horrible as Hitler's.”  52 “History showed, however, that the most relentless termination had never led to the solution of a problem. In the case at issue, the policy of extermination pursued by the Zionists had simply inspired in the A</w:t>
      </w:r>
      <w:r w:rsidRPr="00BB5C51">
        <w:rPr>
          <w:sz w:val="20"/>
          <w:szCs w:val="20"/>
        </w:rPr>
        <w:t>rabs hatred and a desire for revenge.</w:t>
      </w:r>
      <w:r w:rsidRPr="00A27F8E">
        <w:rPr>
          <w:sz w:val="20"/>
          <w:szCs w:val="20"/>
        </w:rPr>
        <w:t>”</w:t>
      </w:r>
      <w:r w:rsidRPr="00BB5C51">
        <w:rPr>
          <w:sz w:val="20"/>
          <w:szCs w:val="20"/>
        </w:rPr>
        <w:t xml:space="preserve"> </w:t>
      </w:r>
    </w:p>
    <w:p w14:paraId="6A2542C6" w14:textId="77777777" w:rsidR="003B5820" w:rsidRPr="00210DE1" w:rsidRDefault="003B5820" w:rsidP="003B5820">
      <w:pPr>
        <w:contextualSpacing/>
        <w:rPr>
          <w:rFonts w:ascii="Times New Roman" w:hAnsi="Times New Roman" w:cs="Times New Roman"/>
          <w:kern w:val="0"/>
          <w:sz w:val="20"/>
          <w:szCs w:val="20"/>
        </w:rPr>
      </w:pPr>
      <w:r w:rsidRPr="00A27F8E">
        <w:rPr>
          <w:rFonts w:ascii="Times New Roman" w:hAnsi="Times New Roman" w:cs="Times New Roman"/>
          <w:sz w:val="20"/>
          <w:szCs w:val="20"/>
        </w:rPr>
        <w:t xml:space="preserve">1954 </w:t>
      </w:r>
      <w:r w:rsidRPr="00A27F8E">
        <w:rPr>
          <w:rFonts w:ascii="Times New Roman" w:hAnsi="Times New Roman" w:cs="Times New Roman"/>
          <w:kern w:val="0"/>
          <w:sz w:val="20"/>
          <w:szCs w:val="20"/>
        </w:rPr>
        <w:t>M 32: Saudi Arabia, 36, “</w:t>
      </w:r>
      <w:r w:rsidRPr="00A27F8E">
        <w:rPr>
          <w:kern w:val="0"/>
          <w:sz w:val="20"/>
          <w:szCs w:val="20"/>
        </w:rPr>
        <w:t xml:space="preserve">The oppressive and discriminatory measures which Israel had adopted towards its Arab minority to encourage their final departure from their native country were also known, and a Jewish publication had gone so far as </w:t>
      </w:r>
      <w:r w:rsidRPr="00A27F8E">
        <w:rPr>
          <w:i/>
          <w:iCs/>
          <w:kern w:val="0"/>
          <w:sz w:val="20"/>
          <w:szCs w:val="20"/>
        </w:rPr>
        <w:t xml:space="preserve">to </w:t>
      </w:r>
      <w:r w:rsidRPr="00A27F8E">
        <w:rPr>
          <w:kern w:val="0"/>
          <w:sz w:val="20"/>
          <w:szCs w:val="20"/>
        </w:rPr>
        <w:t xml:space="preserve">say that the Arabs in Israel had lived in ghettos such as Jews had never lived in under Tzarist regime in the twentieth century.” </w:t>
      </w:r>
      <w:r>
        <w:rPr>
          <w:rFonts w:ascii="Times New Roman" w:hAnsi="Times New Roman" w:cs="Times New Roman"/>
          <w:kern w:val="0"/>
          <w:sz w:val="20"/>
          <w:szCs w:val="20"/>
        </w:rPr>
        <w:t xml:space="preserve">  </w:t>
      </w:r>
      <w:r w:rsidRPr="00A27F8E">
        <w:rPr>
          <w:rFonts w:ascii="Times New Roman" w:hAnsi="Times New Roman" w:cs="Times New Roman"/>
          <w:kern w:val="0"/>
          <w:sz w:val="20"/>
          <w:szCs w:val="20"/>
        </w:rPr>
        <w:t xml:space="preserve">M 34: Iraq, 17, “Israel treated the Palestinian Arabs in a wav no colonial Power had ever treated its subject peoples. It was committing a crime of genocide which would have revolted the whole world if other peoples, and particularly Jews, had been the victims.”  </w:t>
      </w:r>
      <w:r w:rsidRPr="00A27F8E">
        <w:rPr>
          <w:rFonts w:ascii="Times New Roman" w:hAnsi="Times New Roman" w:cs="Times New Roman"/>
          <w:sz w:val="20"/>
          <w:szCs w:val="20"/>
        </w:rPr>
        <w:t>1955, M 16: 27, “</w:t>
      </w:r>
      <w:r w:rsidRPr="00A27F8E">
        <w:rPr>
          <w:sz w:val="20"/>
          <w:szCs w:val="20"/>
        </w:rPr>
        <w:t xml:space="preserve">No other nation than Israel could have usurped and abused so much property belonging to another people without causing a stir in international circles and in the Press, least of all if the people wronged were Jews.”  “They [Arabs and Moslems] could not understand how those Governments could, on the one hand, aid Israel in perpetuating that system and, on the other, enter the Second World War to put an end to another wicked system; the only difference they could see was that the victims in one case were Jews and in the other Arabs. The victims of one system had become the perpetrators of the other.” </w:t>
      </w:r>
      <w:r>
        <w:rPr>
          <w:rFonts w:ascii="Times New Roman" w:hAnsi="Times New Roman" w:cs="Times New Roman"/>
          <w:kern w:val="0"/>
          <w:sz w:val="20"/>
          <w:szCs w:val="20"/>
        </w:rPr>
        <w:t xml:space="preserve">  </w:t>
      </w:r>
      <w:r w:rsidRPr="00A27F8E">
        <w:rPr>
          <w:rFonts w:ascii="Times New Roman" w:hAnsi="Times New Roman" w:cs="Times New Roman"/>
          <w:sz w:val="20"/>
          <w:szCs w:val="20"/>
        </w:rPr>
        <w:t>M 18: Representative of the Palestine refugees, 55, “</w:t>
      </w:r>
      <w:r w:rsidRPr="00A27F8E">
        <w:rPr>
          <w:sz w:val="20"/>
          <w:szCs w:val="20"/>
        </w:rPr>
        <w:t xml:space="preserve">The Palestine Arab refugees firmly believed that war had become inevitable because all the Arab people had come to realize that the Zionists did not want a negotiated settlement but wanted to settle the issue in the Middle East by force of arms. The peace offers they were now making resembled those that Hitler had made to Great Britain after he had occupied half of Europe. Offers of that kind were unacceptable.” </w:t>
      </w:r>
      <w:r>
        <w:rPr>
          <w:sz w:val="20"/>
          <w:szCs w:val="20"/>
        </w:rPr>
        <w:t xml:space="preserve">Sometimes the Shoah is simply denied, as in </w:t>
      </w:r>
      <w:r w:rsidRPr="002F6242">
        <w:rPr>
          <w:sz w:val="20"/>
          <w:szCs w:val="20"/>
        </w:rPr>
        <w:t>1955, M 18: Iraq, 33 “When the world realized that Mohammedans, Christians and Jews could live as brothers in Palestine, as in all countries of the world, the refugee problem would be solved.”</w:t>
      </w:r>
      <w:r>
        <w:rPr>
          <w:sz w:val="20"/>
          <w:szCs w:val="20"/>
        </w:rPr>
        <w:t xml:space="preserve"> This ought to read as a sick joke.  </w:t>
      </w:r>
    </w:p>
  </w:endnote>
  <w:endnote w:id="53">
    <w:p w14:paraId="327F9666" w14:textId="77777777" w:rsidR="003B5820" w:rsidRDefault="003B5820" w:rsidP="003B5820">
      <w:pPr>
        <w:pStyle w:val="EndnoteText"/>
      </w:pPr>
      <w:r>
        <w:rPr>
          <w:rStyle w:val="EndnoteReference"/>
        </w:rPr>
        <w:endnoteRef/>
      </w:r>
      <w:r>
        <w:t xml:space="preserve"> At that time, national character was considered a reasonable object of academic inquiry.  </w:t>
      </w:r>
    </w:p>
  </w:endnote>
  <w:endnote w:id="54">
    <w:p w14:paraId="63B9932E" w14:textId="77777777" w:rsidR="003B5820" w:rsidRPr="0026329D" w:rsidRDefault="003B5820" w:rsidP="003B5820">
      <w:pPr>
        <w:pStyle w:val="EndnoteText"/>
      </w:pPr>
      <w:r>
        <w:rPr>
          <w:rStyle w:val="EndnoteReference"/>
        </w:rPr>
        <w:endnoteRef/>
      </w:r>
      <w:r>
        <w:t xml:space="preserve"> Gorham, </w:t>
      </w:r>
      <w:r>
        <w:rPr>
          <w:i/>
          <w:iCs/>
        </w:rPr>
        <w:t xml:space="preserve">Showmen, </w:t>
      </w:r>
      <w:r w:rsidRPr="0026329D">
        <w:t>17-18 “What distinguishes the permanent sucker of the type I have in mind is not so much credulity as optimism.  He may criticize a show keenly enough when he is seeing it and feel resentful at being taken in, but this will not cure him of going to shows.  He is sustained by the eternal hope that it may be better next time.”</w:t>
      </w:r>
      <w:r>
        <w:t xml:space="preserve">  </w:t>
      </w:r>
    </w:p>
  </w:endnote>
  <w:endnote w:id="55">
    <w:p w14:paraId="61503A87" w14:textId="77777777" w:rsidR="003B5820" w:rsidRDefault="003B5820" w:rsidP="003B5820">
      <w:pPr>
        <w:pStyle w:val="EndnoteText"/>
      </w:pPr>
      <w:r>
        <w:rPr>
          <w:rStyle w:val="EndnoteReference"/>
        </w:rPr>
        <w:endnoteRef/>
      </w:r>
      <w:r>
        <w:t xml:space="preserve"> </w:t>
      </w:r>
      <w:r w:rsidRPr="00952B52">
        <w:t>Edwin Borchard</w:t>
      </w:r>
      <w:r>
        <w:t xml:space="preserve">, </w:t>
      </w:r>
      <w:r w:rsidRPr="00952B52">
        <w:t>Reviewed Work(s): The International Problem of Governing Mankind</w:t>
      </w:r>
      <w:r>
        <w:t>,</w:t>
      </w:r>
      <w:r w:rsidRPr="00952B52">
        <w:t xml:space="preserve"> by Philip C. Jessup</w:t>
      </w:r>
      <w:r>
        <w:t xml:space="preserve">, </w:t>
      </w:r>
      <w:r w:rsidRPr="00952B52">
        <w:rPr>
          <w:i/>
        </w:rPr>
        <w:t>The American Journal of International Law</w:t>
      </w:r>
      <w:r w:rsidRPr="00952B52">
        <w:t>. 42, No. 2 (Apr. 1948), pp. 528-529</w:t>
      </w:r>
      <w:r>
        <w:t xml:space="preserve">.  His description of Jessup having ‘ecstatic respect’ for the UN is perhaps the harshest moment, but only by a bit.  It certainly accuses him of having more faith than reason.  </w:t>
      </w:r>
    </w:p>
  </w:endnote>
  <w:endnote w:id="56">
    <w:p w14:paraId="5DE23FAF" w14:textId="77777777" w:rsidR="003B5820" w:rsidRDefault="003B5820" w:rsidP="003B5820">
      <w:pPr>
        <w:pStyle w:val="EndnoteText"/>
      </w:pPr>
      <w:r>
        <w:rPr>
          <w:rStyle w:val="EndnoteReference"/>
        </w:rPr>
        <w:endnoteRef/>
      </w:r>
      <w:r>
        <w:t xml:space="preserve"> Perhaps his most optimistic article of that period is </w:t>
      </w:r>
      <w:r w:rsidRPr="007E29E9">
        <w:t>Philip C. Jessup</w:t>
      </w:r>
      <w:r>
        <w:t>, “</w:t>
      </w:r>
      <w:r w:rsidRPr="007E29E9">
        <w:t>Force under a</w:t>
      </w:r>
      <w:r>
        <w:t xml:space="preserve"> </w:t>
      </w:r>
      <w:r w:rsidRPr="007E29E9">
        <w:t>Modern</w:t>
      </w:r>
      <w:r>
        <w:t xml:space="preserve"> </w:t>
      </w:r>
      <w:r w:rsidRPr="007E29E9">
        <w:t>Law of Nations</w:t>
      </w:r>
      <w:r>
        <w:t xml:space="preserve">,” </w:t>
      </w:r>
      <w:r w:rsidRPr="007E29E9">
        <w:rPr>
          <w:i/>
        </w:rPr>
        <w:t xml:space="preserve">Foreign Affairs </w:t>
      </w:r>
      <w:r w:rsidRPr="007E29E9">
        <w:t>25, No. 1 (Oct., 1946),</w:t>
      </w:r>
      <w:r>
        <w:t xml:space="preserve"> p 90 opens the article with “There</w:t>
      </w:r>
      <w:r w:rsidRPr="007E29E9">
        <w:t xml:space="preserve"> is more agreement today than at any earlier period upon  the  need  for  some  change  in  the  traditional  international  system  of  a  community  of  sovereign  states. Unlimited sovereignty is no longer automatically accepted every­</w:t>
      </w:r>
      <w:r>
        <w:t xml:space="preserve"> </w:t>
      </w:r>
      <w:r w:rsidRPr="007E29E9">
        <w:t>where as the most prized possession or</w:t>
      </w:r>
      <w:r>
        <w:t xml:space="preserve"> </w:t>
      </w:r>
      <w:r w:rsidRPr="007E29E9">
        <w:t>even as a desirable attribute of states.</w:t>
      </w:r>
      <w:r>
        <w:t xml:space="preserve">”  The basic thinking here is that he expects that the UN will be the only institution to use force in the coming world.   In the war-time </w:t>
      </w:r>
      <w:r w:rsidRPr="005E488E">
        <w:t>P. C. Jessup</w:t>
      </w:r>
      <w:r>
        <w:t>, “</w:t>
      </w:r>
      <w:r w:rsidRPr="005E488E">
        <w:t>International Law and</w:t>
      </w:r>
      <w:r>
        <w:t xml:space="preserve"> </w:t>
      </w:r>
      <w:r w:rsidRPr="005E488E">
        <w:t>Totalitarian War</w:t>
      </w:r>
      <w:r>
        <w:t xml:space="preserve">,” </w:t>
      </w:r>
      <w:r w:rsidRPr="005E488E">
        <w:rPr>
          <w:i/>
        </w:rPr>
        <w:t xml:space="preserve">The American Journal of International Law </w:t>
      </w:r>
      <w:r w:rsidRPr="005E488E">
        <w:t>35, No. 2 (Apr., 1941), pp</w:t>
      </w:r>
      <w:r>
        <w:t xml:space="preserve">. </w:t>
      </w:r>
      <w:r w:rsidRPr="005E488E">
        <w:t>331</w:t>
      </w:r>
      <w:r>
        <w:t xml:space="preserve"> has “</w:t>
      </w:r>
      <w:r w:rsidRPr="00B11467">
        <w:t xml:space="preserve">I venture to think it </w:t>
      </w:r>
      <w:r>
        <w:t xml:space="preserve">[arial bombing as a tool of war] </w:t>
      </w:r>
      <w:r w:rsidRPr="00B11467">
        <w:t>will be regulated like dumdum bullets and poisoned weapons and for the same reason that the ends of humanitarianism and of military utility will coincide.</w:t>
      </w:r>
      <w:r>
        <w:t xml:space="preserve">” He really believed that militaries would increasingly allow their operations to be governed by international law.   </w:t>
      </w:r>
    </w:p>
  </w:endnote>
  <w:endnote w:id="57">
    <w:p w14:paraId="4BB1F2F7" w14:textId="77777777" w:rsidR="003B5820" w:rsidRDefault="003B5820" w:rsidP="003B5820">
      <w:pPr>
        <w:pStyle w:val="EndnoteText"/>
      </w:pPr>
      <w:r>
        <w:rPr>
          <w:rStyle w:val="EndnoteReference"/>
        </w:rPr>
        <w:endnoteRef/>
      </w:r>
      <w:r>
        <w:t xml:space="preserve"> A good example is </w:t>
      </w:r>
      <w:r w:rsidRPr="00872A42">
        <w:t>Philip C. Jessup</w:t>
      </w:r>
      <w:r>
        <w:t xml:space="preserve">, </w:t>
      </w:r>
      <w:r w:rsidRPr="00872A42">
        <w:t xml:space="preserve">Reviewed Work(s): </w:t>
      </w:r>
      <w:r>
        <w:t>“</w:t>
      </w:r>
      <w:r w:rsidRPr="00872A42">
        <w:t>An International Bill of the Rights of</w:t>
      </w:r>
      <w:r>
        <w:t xml:space="preserve"> </w:t>
      </w:r>
      <w:r w:rsidRPr="00872A42">
        <w:t>Man.</w:t>
      </w:r>
      <w:r>
        <w:t>”</w:t>
      </w:r>
      <w:r w:rsidRPr="00872A42">
        <w:t xml:space="preserve"> by H. Lauterpacht</w:t>
      </w:r>
      <w:r>
        <w:t xml:space="preserve">, </w:t>
      </w:r>
      <w:r w:rsidRPr="00872A42">
        <w:rPr>
          <w:i/>
        </w:rPr>
        <w:t xml:space="preserve">The American Journal of International Law </w:t>
      </w:r>
      <w:r w:rsidRPr="00872A42">
        <w:t>39, No. 4 (Oct., 1945), pp. 847</w:t>
      </w:r>
      <w:r>
        <w:t xml:space="preserve"> has “</w:t>
      </w:r>
      <w:r w:rsidRPr="006059E3">
        <w:t>Though one must be on one's guard against millennial relaxation, one can be inspired by the anticipation of revolutionary developments.</w:t>
      </w:r>
      <w:r>
        <w:t>” And “…</w:t>
      </w:r>
      <w:r w:rsidRPr="006059E3">
        <w:t>Professor Lauterpacht calmly admits that one of the "revolutionary innovations" of the Bill</w:t>
      </w:r>
      <w:r>
        <w:t xml:space="preserve">…”. Jessup is strongly in favor of this revolution.  Further, his strongest critique of the book, </w:t>
      </w:r>
      <w:r w:rsidRPr="006059E3">
        <w:t xml:space="preserve">849, “It [Lauterpacht’s caution in dealing with political issues] is perhaps the greatest weakness in the book, being weak by its very effort to lean strongly on the rock of practicality.”  </w:t>
      </w:r>
      <w:r>
        <w:t xml:space="preserve">Jessup would have preferred it untethered to practicality. In the generically named </w:t>
      </w:r>
      <w:r w:rsidRPr="006059E3">
        <w:t>Philip C. Jessup, "Intermediacy," Nordisk Tidsskrift for International Ret 23 (1953)</w:t>
      </w:r>
      <w:r>
        <w:t xml:space="preserve">, </w:t>
      </w:r>
      <w:r w:rsidRPr="006059E3">
        <w:t>16</w:t>
      </w:r>
      <w:r>
        <w:t xml:space="preserve"> he starts by saying that he wants to overturn a precedent of some 325 years set by the founder of modern international law, Hugo Grotius.  The point of the article is that the distinction between war and peace ought to be softened to allow greater ambiguity in the matter.  The League of Nations attempted to put a lot of ambiguity into the international system, and all they got for their experiments was yet fiercer conflict, and more of it.  </w:t>
      </w:r>
    </w:p>
  </w:endnote>
  <w:endnote w:id="58">
    <w:p w14:paraId="04C2D822" w14:textId="77777777" w:rsidR="003B5820" w:rsidRPr="00F05F0D" w:rsidRDefault="003B5820" w:rsidP="003B5820">
      <w:pPr>
        <w:pStyle w:val="EndnoteText"/>
      </w:pPr>
      <w:r>
        <w:rPr>
          <w:rStyle w:val="EndnoteReference"/>
        </w:rPr>
        <w:endnoteRef/>
      </w:r>
      <w:r>
        <w:t xml:space="preserve"> Gorham, </w:t>
      </w:r>
      <w:r>
        <w:rPr>
          <w:i/>
          <w:iCs/>
        </w:rPr>
        <w:t xml:space="preserve">Showmen, </w:t>
      </w:r>
      <w:r>
        <w:t xml:space="preserve">While the imagery on 189-90 is archaic, the sentiment is timeless: </w:t>
      </w:r>
      <w:r w:rsidRPr="0026329D">
        <w:t>“Like people who order books from the ‘Curious’ section of the booksellers’ catalogues and then wonder what they are going to get, the seekers of ‘nudes’ are kept going by the curiosity that can survive half a dozen defeats and still hope for victory in the end.”</w:t>
      </w:r>
    </w:p>
  </w:endnote>
  <w:endnote w:id="59">
    <w:p w14:paraId="41EA4121" w14:textId="77777777" w:rsidR="003B5820" w:rsidRDefault="003B5820" w:rsidP="003B5820">
      <w:pPr>
        <w:pStyle w:val="EndnoteText"/>
      </w:pPr>
      <w:r>
        <w:rPr>
          <w:rStyle w:val="EndnoteReference"/>
        </w:rPr>
        <w:endnoteRef/>
      </w:r>
      <w:r>
        <w:t xml:space="preserve"> One of his papers about neutrality is </w:t>
      </w:r>
      <w:r w:rsidRPr="003448D3">
        <w:t>Philip C. Jessup</w:t>
      </w:r>
      <w:r>
        <w:t>, “</w:t>
      </w:r>
      <w:r w:rsidRPr="003448D3">
        <w:t>The Reconsideration of "Neutrality" Legislation in 1939</w:t>
      </w:r>
      <w:r>
        <w:t xml:space="preserve">,” </w:t>
      </w:r>
      <w:r w:rsidRPr="003448D3">
        <w:rPr>
          <w:i/>
        </w:rPr>
        <w:t xml:space="preserve">The American Journal of International Law </w:t>
      </w:r>
      <w:r w:rsidRPr="003448D3">
        <w:t>33, No. 3 (Jul</w:t>
      </w:r>
      <w:r>
        <w:t>y</w:t>
      </w:r>
      <w:r w:rsidRPr="003448D3">
        <w:t xml:space="preserve"> 1939), pp. 549-557</w:t>
      </w:r>
      <w:r>
        <w:t>.</w:t>
      </w:r>
    </w:p>
  </w:endnote>
  <w:endnote w:id="60">
    <w:p w14:paraId="52D17258" w14:textId="77777777" w:rsidR="003B5820" w:rsidRDefault="003B5820" w:rsidP="003B5820">
      <w:pPr>
        <w:pStyle w:val="EndnoteText"/>
      </w:pPr>
      <w:r>
        <w:rPr>
          <w:rStyle w:val="EndnoteReference"/>
        </w:rPr>
        <w:endnoteRef/>
      </w:r>
      <w:r>
        <w:t xml:space="preserve"> Kostenniemi, “Lauterpacht,” 643.  </w:t>
      </w:r>
    </w:p>
  </w:endnote>
  <w:endnote w:id="61">
    <w:p w14:paraId="481C6E43" w14:textId="77777777" w:rsidR="003B5820" w:rsidRDefault="003B5820" w:rsidP="003B5820">
      <w:pPr>
        <w:pStyle w:val="EndnoteText"/>
      </w:pPr>
      <w:r>
        <w:rPr>
          <w:rStyle w:val="EndnoteReference"/>
        </w:rPr>
        <w:endnoteRef/>
      </w:r>
      <w:r>
        <w:t xml:space="preserve"> </w:t>
      </w:r>
      <w:r w:rsidRPr="00B54084">
        <w:t>Philip C. Jessup</w:t>
      </w:r>
      <w:r>
        <w:t>, “</w:t>
      </w:r>
      <w:r w:rsidRPr="00B54084">
        <w:t>The Defense of Oppressed Peoples</w:t>
      </w:r>
      <w:r>
        <w:t xml:space="preserve">,” </w:t>
      </w:r>
      <w:r w:rsidRPr="00B54084">
        <w:rPr>
          <w:i/>
        </w:rPr>
        <w:t>The American Journal of</w:t>
      </w:r>
      <w:r>
        <w:rPr>
          <w:i/>
        </w:rPr>
        <w:t xml:space="preserve"> </w:t>
      </w:r>
      <w:r w:rsidRPr="00B54084">
        <w:rPr>
          <w:i/>
        </w:rPr>
        <w:t xml:space="preserve">International Law, </w:t>
      </w:r>
      <w:r w:rsidRPr="00B54084">
        <w:t>Vol. 32, No. 1 (Jan. 1938), pp. 11</w:t>
      </w:r>
      <w:r>
        <w:t>7 has “</w:t>
      </w:r>
      <w:r w:rsidRPr="00044EEC">
        <w:t>Aside from the legal basis for action, however, there are grave questions of policy which must be considered by the responsible officials even though they are ignored by irresponsible though well-meaning private persons.</w:t>
      </w:r>
      <w:r>
        <w:t>”  The conclusion, 119, has “</w:t>
      </w:r>
      <w:r w:rsidRPr="00044EEC">
        <w:t xml:space="preserve">Government officials need to weigh delicately the nice balance between the desirability of expressing </w:t>
      </w:r>
      <w:r>
        <w:t>‘</w:t>
      </w:r>
      <w:r w:rsidRPr="00044EEC">
        <w:t>abhorrence and condemnation</w:t>
      </w:r>
      <w:r>
        <w:t>’</w:t>
      </w:r>
      <w:r w:rsidRPr="00044EEC">
        <w:t xml:space="preserve"> of illegal or inhuman conduct and the undesirability of making ineffective gestures or threats which, in Mr.</w:t>
      </w:r>
      <w:r>
        <w:t>[Secretary of State Elihu, whose biography Jessup wrote]</w:t>
      </w:r>
      <w:r w:rsidRPr="00044EEC">
        <w:t xml:space="preserve"> Root's words, </w:t>
      </w:r>
      <w:r>
        <w:t>‘</w:t>
      </w:r>
      <w:r w:rsidRPr="00044EEC">
        <w:t>tend, by producing irritation and antagonism, to aggravate the dangers to the unfortunate people whom they are intended to aid.</w:t>
      </w:r>
      <w:r>
        <w:t>’”</w:t>
      </w:r>
      <w:r w:rsidRPr="00044EEC">
        <w:t xml:space="preserve"> </w:t>
      </w:r>
      <w:r>
        <w:t xml:space="preserve"> </w:t>
      </w:r>
    </w:p>
  </w:endnote>
  <w:endnote w:id="62">
    <w:p w14:paraId="05BEE772" w14:textId="77777777" w:rsidR="003B5820" w:rsidRDefault="003B5820" w:rsidP="003B5820">
      <w:pPr>
        <w:pStyle w:val="EndnoteText"/>
      </w:pPr>
      <w:r>
        <w:rPr>
          <w:rStyle w:val="EndnoteReference"/>
        </w:rPr>
        <w:endnoteRef/>
      </w:r>
      <w:r>
        <w:t xml:space="preserve"> Steinle, “Schwarzenberger,”  668 notes that European refugee scholars of international law moving to the US or UK were given the advice that it would be best if they moved over to international relations or political science instead.  One of those who took the advice went on to write one of the more cogent critiques of why international law could never work in </w:t>
      </w:r>
      <w:r w:rsidRPr="00E16EE8">
        <w:t>Hans J. Morgenthau</w:t>
      </w:r>
      <w:r>
        <w:t>, “</w:t>
      </w:r>
      <w:r w:rsidRPr="00E16EE8">
        <w:t>Positivism, Functionalism, and International Law</w:t>
      </w:r>
      <w:r>
        <w:t xml:space="preserve">,” </w:t>
      </w:r>
      <w:r w:rsidRPr="00E16EE8">
        <w:rPr>
          <w:i/>
        </w:rPr>
        <w:t xml:space="preserve">The American Journal of International Law </w:t>
      </w:r>
      <w:r w:rsidRPr="00E16EE8">
        <w:t>34, No. 2 (Apr</w:t>
      </w:r>
      <w:r>
        <w:t>il</w:t>
      </w:r>
      <w:r w:rsidRPr="00E16EE8">
        <w:t xml:space="preserve"> 1940)</w:t>
      </w:r>
      <w:r>
        <w:t>:</w:t>
      </w:r>
      <w:r w:rsidRPr="00E16EE8">
        <w:t xml:space="preserve"> pp. 260-284</w:t>
      </w:r>
      <w:r>
        <w:t>.  Hans Kelsen is perhaps the most famous of the Europeans who moved to the US and left international law.</w:t>
      </w:r>
    </w:p>
  </w:endnote>
  <w:endnote w:id="63">
    <w:p w14:paraId="07C1B17F" w14:textId="77777777" w:rsidR="003B5820" w:rsidRPr="00242ACB" w:rsidRDefault="003B5820" w:rsidP="003B5820">
      <w:pPr>
        <w:pStyle w:val="EndnoteText"/>
      </w:pPr>
      <w:r>
        <w:rPr>
          <w:rStyle w:val="EndnoteReference"/>
        </w:rPr>
        <w:endnoteRef/>
      </w:r>
      <w:r>
        <w:t xml:space="preserve"> Cantril, </w:t>
      </w:r>
      <w:r>
        <w:rPr>
          <w:i/>
          <w:iCs/>
        </w:rPr>
        <w:t xml:space="preserve">Social Movements, </w:t>
      </w:r>
      <w:r w:rsidRPr="00242ACB">
        <w:t>“Critical situations, such as those we have just described, furnish one of the two major psychological conditions that make individuals suggestible.  A person is susceptible to suggestion when (1) he has no adequate mental context for the interpretation of a given stimulus or event or (2) when his mental context is so rigidly fixed that a stimulus is automatically judged by means of this context and without an examination of the stimulus itself.  The first condition results from bewilderment; the second from the ‘will to believe.’”</w:t>
      </w:r>
    </w:p>
  </w:endnote>
  <w:endnote w:id="64">
    <w:p w14:paraId="2CC307A4" w14:textId="77777777" w:rsidR="003B5820" w:rsidRDefault="003B5820" w:rsidP="003B5820">
      <w:pPr>
        <w:pStyle w:val="EndnoteText"/>
      </w:pPr>
      <w:r>
        <w:rPr>
          <w:rStyle w:val="EndnoteReference"/>
        </w:rPr>
        <w:endnoteRef/>
      </w:r>
      <w:r>
        <w:t xml:space="preserve"> Cantril, </w:t>
      </w:r>
      <w:r>
        <w:rPr>
          <w:i/>
          <w:iCs/>
        </w:rPr>
        <w:t>Social Movements,</w:t>
      </w:r>
      <w:r>
        <w:t xml:space="preserve"> 62, </w:t>
      </w:r>
      <w:r w:rsidRPr="00242ACB">
        <w:t>“It [the desire to create meaning] helps us to understand why it is that we ourselves cannot forever remain in a state of indecision.  It helps us to see why a war of nerves-a deliberately created, widespread, and prolonged state of indecision and tension-is a serious war that must inevitably lead to some action.”</w:t>
      </w:r>
    </w:p>
  </w:endnote>
  <w:endnote w:id="65">
    <w:p w14:paraId="5108E263" w14:textId="77777777" w:rsidR="003B5820" w:rsidRPr="003F5134" w:rsidRDefault="003B5820" w:rsidP="003B5820">
      <w:pPr>
        <w:pStyle w:val="EndnoteText"/>
      </w:pPr>
      <w:r>
        <w:rPr>
          <w:rStyle w:val="EndnoteReference"/>
        </w:rPr>
        <w:endnoteRef/>
      </w:r>
      <w:r>
        <w:t xml:space="preserve"> Cantril, </w:t>
      </w:r>
      <w:r>
        <w:rPr>
          <w:i/>
          <w:iCs/>
        </w:rPr>
        <w:t xml:space="preserve">Social Movements, </w:t>
      </w:r>
      <w:r>
        <w:t>64-77 is the section on the elements of suggestibility.  257-8 is strongest on simplicity.</w:t>
      </w:r>
    </w:p>
  </w:endnote>
  <w:endnote w:id="66">
    <w:p w14:paraId="5CE1D890" w14:textId="77777777" w:rsidR="003B5820" w:rsidRDefault="003B5820" w:rsidP="003B5820">
      <w:pPr>
        <w:pStyle w:val="EndnoteText"/>
      </w:pPr>
      <w:r>
        <w:rPr>
          <w:rStyle w:val="EndnoteReference"/>
        </w:rPr>
        <w:endnoteRef/>
      </w:r>
      <w:r>
        <w:t xml:space="preserve"> Lorge, </w:t>
      </w:r>
      <w:r>
        <w:rPr>
          <w:i/>
          <w:iCs/>
        </w:rPr>
        <w:t>Prestige,</w:t>
      </w:r>
      <w:r>
        <w:t xml:space="preserve"> 402, “</w:t>
      </w:r>
      <w:r w:rsidRPr="00561067">
        <w:t>Attitudes can be changed more readily by utilizing the positive aspects of regard than the negative.  Opinions are changed in the direction of agreement rather than of opposition.</w:t>
      </w:r>
      <w:r>
        <w:t>”</w:t>
      </w:r>
    </w:p>
  </w:endnote>
  <w:endnote w:id="67">
    <w:p w14:paraId="5F3DFC07" w14:textId="77777777" w:rsidR="003B5820" w:rsidRPr="003F0793" w:rsidRDefault="003B5820" w:rsidP="003B5820">
      <w:pPr>
        <w:pStyle w:val="EndnoteText"/>
        <w:rPr>
          <w:bCs/>
        </w:rPr>
      </w:pPr>
      <w:r>
        <w:rPr>
          <w:rStyle w:val="EndnoteReference"/>
        </w:rPr>
        <w:endnoteRef/>
      </w:r>
      <w:r>
        <w:t xml:space="preserve"> Kelsen, </w:t>
      </w:r>
      <w:r>
        <w:rPr>
          <w:i/>
          <w:iCs/>
        </w:rPr>
        <w:t xml:space="preserve">Law of the UN, </w:t>
      </w:r>
      <w:r>
        <w:t xml:space="preserve">478, The quote is long but worth reading.  </w:t>
      </w:r>
      <w:r w:rsidRPr="00782D18">
        <w:t>“According to Article 36,</w:t>
      </w:r>
      <w:r>
        <w:t xml:space="preserve"> </w:t>
      </w:r>
      <w:r w:rsidRPr="00782D18">
        <w:t>paragraph 1 of the Statute [of the ICJ], ‘the jurisdiction of the Court comprises all cases which the parties refer to it.’  That means that the parties may bring before the Court any dispute whatever.  In doing so the parties make the dispute a legal dispute.  According from the usual terminology, ‘legal’ disputes are distinguished from non-legal, ie., ‘political’ disputes.  The legal or non-legal, that is, political, character of a dispute does not depend upon its substance, ie., the subject matter with respect to which the parties are in conflict, but on the norms which are</w:t>
      </w:r>
      <w:r>
        <w:t xml:space="preserve"> </w:t>
      </w:r>
      <w:r w:rsidRPr="00782D18">
        <w:t>to be applied to it.  The dispute is legal if it is to be decided according to norms of positive law; it is non-legal, ie., political, if it is to be decided according to other norms, especially according to principles of justice or equity.  Whether legal or other norms are to be applied to a dispute depends upon the parties, or on the authority competent to decide the dispute.  Any dispute consists in that one party claims a certain conduct of the other party and the other party</w:t>
      </w:r>
      <w:r>
        <w:t xml:space="preserve"> </w:t>
      </w:r>
      <w:r w:rsidRPr="00782D18">
        <w:t>refuses to comply with this claim.   If one party justifies its claim or its rejection of the other party’s claim by referring to positive law, the dispute is-from the point of view of this party-a legal dispute.  If a party justifies a claim or its rejection of the other party’s claim by referring not to norms of positive law but to other norms, such as justice or equity, the dispute is-from the point of view of this party-a political dispute.  If the parties submit their dispute to an agency for settlement the dispute is a legal dispute if this agency is authorized to settle it by applying to it the rules of positive law; otherwise it is a political dispute.</w:t>
      </w:r>
      <w:r>
        <w:t>”  The reasoning continues and gets more specific from here.  What must be remembered is that the UN is specifically a political, not legal, organization, and the UNGA all the more so, a setting for states to make their political interests known, and one that isn’t authorized to make decisions.  15-18 is his section on law and justice, and he largely makes the two principles mutually exclusive. This is a tension at the heart of the UN, but, at least at the time Kelsen was writing, was tilted in favor of the status quo, that is, against justice.  This author’s “</w:t>
      </w:r>
      <w:r w:rsidRPr="003F0793">
        <w:rPr>
          <w:bCs/>
        </w:rPr>
        <w:t>Calling for Change but Legitimating Violence: Treaty Revision in the League of Nations and Arab-Zionist Conflict,”</w:t>
      </w:r>
      <w:r>
        <w:rPr>
          <w:bCs/>
        </w:rPr>
        <w:t xml:space="preserve"> available at the web-site listed above, explores this tension in the League of Nations.  </w:t>
      </w:r>
      <w:r>
        <w:t xml:space="preserve"> </w:t>
      </w:r>
    </w:p>
  </w:endnote>
  <w:endnote w:id="68">
    <w:p w14:paraId="67FA9213" w14:textId="77777777" w:rsidR="003B5820" w:rsidRDefault="003B5820" w:rsidP="003B5820">
      <w:pPr>
        <w:pStyle w:val="EndnoteText"/>
      </w:pPr>
      <w:r>
        <w:rPr>
          <w:rStyle w:val="EndnoteReference"/>
        </w:rPr>
        <w:endnoteRef/>
      </w:r>
      <w:r>
        <w:t xml:space="preserve"> Some examples of states making this argument: </w:t>
      </w:r>
      <w:r w:rsidRPr="00092B2B">
        <w:t>1950 M 31: Egypt 31, 39. Pakistan 17</w:t>
      </w:r>
      <w:r>
        <w:t xml:space="preserve">.  </w:t>
      </w:r>
      <w:r w:rsidRPr="00092B2B">
        <w:t>M 34: Syria 22. Burma 24</w:t>
      </w:r>
      <w:r>
        <w:t xml:space="preserve">.  </w:t>
      </w:r>
      <w:r w:rsidRPr="00092B2B">
        <w:t>M 35: Iraq, 53</w:t>
      </w:r>
      <w:r>
        <w:t xml:space="preserve">.  </w:t>
      </w:r>
      <w:r w:rsidRPr="00092B2B">
        <w:t>M 36: Lebanon, 12. Yemen, 20</w:t>
      </w:r>
      <w:r>
        <w:t xml:space="preserve">.  </w:t>
      </w:r>
      <w:r w:rsidRPr="00092B2B">
        <w:t>M 61: Iraq 49</w:t>
      </w:r>
      <w:r>
        <w:t xml:space="preserve">.  </w:t>
      </w:r>
      <w:r w:rsidRPr="00092B2B">
        <w:t>M 62: Pakistan, 23</w:t>
      </w:r>
      <w:r>
        <w:t xml:space="preserve">. </w:t>
      </w:r>
      <w:r w:rsidRPr="00092B2B">
        <w:t xml:space="preserve"> M 64: Denmark, 62. Burma, 71</w:t>
      </w:r>
      <w:r>
        <w:t xml:space="preserve">.  </w:t>
      </w:r>
      <w:r w:rsidRPr="00092B2B">
        <w:t>M 66: Pakistan, 75</w:t>
      </w:r>
      <w:r>
        <w:t xml:space="preserve">.  </w:t>
      </w:r>
      <w:r w:rsidRPr="00092B2B">
        <w:t>M 67: Saudi Arabia, 36</w:t>
      </w:r>
      <w:r>
        <w:t xml:space="preserve">.  </w:t>
      </w:r>
      <w:r w:rsidRPr="00092B2B">
        <w:t>1951: M 44: Egypt, 29.</w:t>
      </w:r>
      <w:r>
        <w:t xml:space="preserve">  </w:t>
      </w:r>
      <w:r w:rsidRPr="00092B2B">
        <w:t>M 45: China, 7. El Salvador, 13.  Netherlands, 19.</w:t>
      </w:r>
      <w:r>
        <w:t xml:space="preserve">  </w:t>
      </w:r>
      <w:r w:rsidRPr="00092B2B">
        <w:t>1952, M 6: Iraq, 33</w:t>
      </w:r>
      <w:r>
        <w:t xml:space="preserve">.  </w:t>
      </w:r>
      <w:r w:rsidRPr="00092B2B">
        <w:t>M 7: Iraq, 31. Denmark, 45.</w:t>
      </w:r>
      <w:r>
        <w:t xml:space="preserve">  </w:t>
      </w:r>
      <w:r w:rsidRPr="00092B2B">
        <w:t>1953, M 26: Lebanon, 9</w:t>
      </w:r>
      <w:r>
        <w:t>.</w:t>
      </w:r>
      <w:r w:rsidRPr="00092B2B">
        <w:t xml:space="preserve"> India, 26.</w:t>
      </w:r>
      <w:r>
        <w:t xml:space="preserve">  </w:t>
      </w:r>
      <w:r w:rsidRPr="00092B2B">
        <w:t xml:space="preserve">M 27: Indonesia, 35. </w:t>
      </w:r>
      <w:r>
        <w:t xml:space="preserve"> </w:t>
      </w:r>
      <w:r w:rsidRPr="00092B2B">
        <w:t>M 28: Afghanistan, 31.</w:t>
      </w:r>
      <w:r>
        <w:t xml:space="preserve">  </w:t>
      </w:r>
      <w:r w:rsidRPr="00092B2B">
        <w:t>M 29: Saudi Arabia, 30.</w:t>
      </w:r>
      <w:r>
        <w:t xml:space="preserve">  </w:t>
      </w:r>
      <w:r w:rsidRPr="00092B2B">
        <w:t>M 30: Iraq, 34.</w:t>
      </w:r>
      <w:r>
        <w:t xml:space="preserve">  </w:t>
      </w:r>
      <w:r w:rsidRPr="00092B2B">
        <w:t>1954, M31: Greece, 20</w:t>
      </w:r>
      <w:r>
        <w:t xml:space="preserve">. </w:t>
      </w:r>
      <w:r w:rsidRPr="00092B2B">
        <w:t xml:space="preserve"> M 34: Iraq, 26, 30, </w:t>
      </w:r>
      <w:r>
        <w:t>China</w:t>
      </w:r>
      <w:r w:rsidRPr="00092B2B">
        <w:t>, 36</w:t>
      </w:r>
      <w:r>
        <w:t>.</w:t>
      </w:r>
      <w:r w:rsidRPr="00092B2B">
        <w:t xml:space="preserve"> </w:t>
      </w:r>
      <w:r>
        <w:t xml:space="preserve"> </w:t>
      </w:r>
      <w:r w:rsidRPr="00092B2B">
        <w:t>M 35: India, 17</w:t>
      </w:r>
      <w:r>
        <w:t xml:space="preserve">.  </w:t>
      </w:r>
      <w:r w:rsidRPr="00092B2B">
        <w:t>1955, M 18: Iraq, 38.</w:t>
      </w:r>
      <w:r>
        <w:t xml:space="preserve">  </w:t>
      </w:r>
      <w:r w:rsidRPr="00092B2B">
        <w:t>M 19: Netherlands, 23</w:t>
      </w:r>
      <w:r>
        <w:t xml:space="preserve">.  </w:t>
      </w:r>
      <w:r w:rsidRPr="00092B2B">
        <w:t>M 21: India, 9</w:t>
      </w:r>
      <w:r>
        <w:t xml:space="preserve">.  </w:t>
      </w:r>
      <w:r w:rsidRPr="00092B2B">
        <w:t>M23: Iraq, 31, Lebanon, 54</w:t>
      </w:r>
      <w:r>
        <w:t xml:space="preserve">.  </w:t>
      </w:r>
      <w:r w:rsidRPr="00092B2B">
        <w:t>M 24: Yemen, 2</w:t>
      </w:r>
      <w:r>
        <w:t>.</w:t>
      </w:r>
      <w:r w:rsidRPr="00092B2B">
        <w:t xml:space="preserve"> </w:t>
      </w:r>
    </w:p>
  </w:endnote>
  <w:endnote w:id="69">
    <w:p w14:paraId="12C2D492" w14:textId="77777777" w:rsidR="003B5820" w:rsidRDefault="003B5820" w:rsidP="003B5820">
      <w:pPr>
        <w:pStyle w:val="EndnoteText"/>
      </w:pPr>
      <w:r>
        <w:rPr>
          <w:rStyle w:val="EndnoteReference"/>
        </w:rPr>
        <w:endnoteRef/>
      </w:r>
      <w:r>
        <w:t xml:space="preserve"> Some of the states arguing that aid would have to continue till the end of the conflict: </w:t>
      </w:r>
      <w:r w:rsidRPr="00715986">
        <w:t>1950 M 34 Syria, 21</w:t>
      </w:r>
      <w:r>
        <w:t xml:space="preserve">.  </w:t>
      </w:r>
      <w:r w:rsidRPr="00715986">
        <w:t>M 62: Pakistan, 25</w:t>
      </w:r>
      <w:r>
        <w:t xml:space="preserve">.  </w:t>
      </w:r>
      <w:r w:rsidRPr="00715986">
        <w:t>M 67: Saudi Arabia, 36.</w:t>
      </w:r>
      <w:r>
        <w:t xml:space="preserve">  </w:t>
      </w:r>
      <w:r w:rsidRPr="00715986">
        <w:t>1951: M 44: Lebanon, 9. Egypt, 29.</w:t>
      </w:r>
      <w:r>
        <w:t xml:space="preserve">  </w:t>
      </w:r>
      <w:r w:rsidRPr="00715986">
        <w:t>M 46: 11, US</w:t>
      </w:r>
      <w:r>
        <w:t>.</w:t>
      </w:r>
      <w:r w:rsidRPr="00715986">
        <w:t xml:space="preserve"> </w:t>
      </w:r>
      <w:r>
        <w:t xml:space="preserve">  </w:t>
      </w:r>
      <w:r w:rsidRPr="00715986">
        <w:t>1952 M 4: France, 23.</w:t>
      </w:r>
      <w:r>
        <w:t xml:space="preserve">  </w:t>
      </w:r>
      <w:r w:rsidRPr="00715986">
        <w:t>M 6: Saudi Arabia, 26.</w:t>
      </w:r>
      <w:r>
        <w:t xml:space="preserve">  </w:t>
      </w:r>
      <w:r w:rsidRPr="00715986">
        <w:t>M 7: Liberia, 26</w:t>
      </w:r>
      <w:r>
        <w:t xml:space="preserve">.  </w:t>
      </w:r>
      <w:r w:rsidRPr="00715986">
        <w:t>1953, M 25: Turkey, 21.</w:t>
      </w:r>
      <w:r>
        <w:t xml:space="preserve">  </w:t>
      </w:r>
      <w:r w:rsidRPr="00715986">
        <w:t>M 26: India, 22.</w:t>
      </w:r>
      <w:r>
        <w:t xml:space="preserve">  </w:t>
      </w:r>
      <w:r w:rsidRPr="00715986">
        <w:t>1954 M 28: Director of RWA, 10, 22</w:t>
      </w:r>
      <w:r>
        <w:t xml:space="preserve">.  </w:t>
      </w:r>
      <w:r w:rsidRPr="00715986">
        <w:t>M 29: Jordan, 54</w:t>
      </w:r>
      <w:r>
        <w:t xml:space="preserve">.  </w:t>
      </w:r>
      <w:r w:rsidRPr="00715986">
        <w:t>M 34: Pakistan, 8</w:t>
      </w:r>
      <w:r>
        <w:t xml:space="preserve">.  </w:t>
      </w:r>
      <w:r w:rsidRPr="00715986">
        <w:t>M 35: India, 17</w:t>
      </w:r>
      <w:r>
        <w:t xml:space="preserve">.  </w:t>
      </w:r>
      <w:r w:rsidRPr="00715986">
        <w:t>M 38: Haiti, 9</w:t>
      </w:r>
      <w:r>
        <w:t xml:space="preserve">.  </w:t>
      </w:r>
      <w:r w:rsidRPr="00715986">
        <w:t>1955 M 16: Egypt, 9.</w:t>
      </w:r>
      <w:r>
        <w:t xml:space="preserve">  </w:t>
      </w:r>
      <w:r w:rsidRPr="00715986">
        <w:t>M 17: Saudi Arabia, 6.</w:t>
      </w:r>
      <w:r>
        <w:t xml:space="preserve">  </w:t>
      </w:r>
      <w:r w:rsidRPr="00715986">
        <w:t>M 18: Afghanistan, 27</w:t>
      </w:r>
      <w:r>
        <w:t xml:space="preserve">.  </w:t>
      </w:r>
      <w:r w:rsidRPr="00715986">
        <w:t>M 20: Denmark, 23</w:t>
      </w:r>
      <w:r>
        <w:t xml:space="preserve">.  </w:t>
      </w:r>
      <w:r w:rsidRPr="00715986">
        <w:t>M 23: Indonesia, 43</w:t>
      </w:r>
      <w:r>
        <w:t>.</w:t>
      </w:r>
    </w:p>
  </w:endnote>
  <w:endnote w:id="70">
    <w:p w14:paraId="5761AD92" w14:textId="77777777" w:rsidR="003B5820" w:rsidRDefault="003B5820" w:rsidP="003B5820">
      <w:pPr>
        <w:pStyle w:val="EndnoteText"/>
      </w:pPr>
      <w:r>
        <w:rPr>
          <w:rStyle w:val="EndnoteReference"/>
        </w:rPr>
        <w:endnoteRef/>
      </w:r>
      <w:r>
        <w:t xml:space="preserve"> Some of the states speaking for expansion of aid: </w:t>
      </w:r>
      <w:r w:rsidRPr="00174D86">
        <w:t>1950 M 33: Jordan, 7,8; Pakistan, 22.</w:t>
      </w:r>
      <w:r>
        <w:t xml:space="preserve">  </w:t>
      </w:r>
      <w:r w:rsidRPr="00174D86">
        <w:t>1951 M 43: Jordan, 40. M 46: Yemen, 16.</w:t>
      </w:r>
      <w:r>
        <w:t xml:space="preserve">  </w:t>
      </w:r>
      <w:r w:rsidRPr="00174D86">
        <w:t>1952, M 4: Lebanon, 32;  Egypt, 38.  M 5: Afghanistan, 2; Syria, 24.</w:t>
      </w:r>
      <w:r>
        <w:t xml:space="preserve">  </w:t>
      </w:r>
      <w:r w:rsidRPr="00174D86">
        <w:t xml:space="preserve">M 6: Saudi Arabia, 25, 31. Iraq, 38. </w:t>
      </w:r>
      <w:r>
        <w:t xml:space="preserve"> </w:t>
      </w:r>
      <w:r w:rsidRPr="00174D86">
        <w:t>M 7: representative of the refugees, 9. Iraq, 35.</w:t>
      </w:r>
      <w:r>
        <w:t xml:space="preserve">  </w:t>
      </w:r>
      <w:r w:rsidRPr="00174D86">
        <w:t>1953, M 26: Lebanon, 4. India, 21.</w:t>
      </w:r>
      <w:r>
        <w:t xml:space="preserve">  </w:t>
      </w:r>
      <w:r w:rsidRPr="00174D86">
        <w:t>1954, M 28: Director of RWA, 11-15.</w:t>
      </w:r>
      <w:r>
        <w:t xml:space="preserve">  </w:t>
      </w:r>
      <w:r w:rsidRPr="00174D86">
        <w:t>M 29: Jordan, 46, 51.</w:t>
      </w:r>
      <w:r>
        <w:t xml:space="preserve">  </w:t>
      </w:r>
      <w:r w:rsidRPr="00174D86">
        <w:t>M 32: Iran, 9; Saudi Arabia, 39, 41.</w:t>
      </w:r>
      <w:r>
        <w:t xml:space="preserve">  </w:t>
      </w:r>
      <w:r w:rsidRPr="00174D86">
        <w:t>M 33: Yemen, 38-40.</w:t>
      </w:r>
      <w:r>
        <w:t xml:space="preserve">  </w:t>
      </w:r>
      <w:r w:rsidRPr="00174D86">
        <w:t>M 34: Iraq, 32; Afghanistan, 41.</w:t>
      </w:r>
      <w:r>
        <w:t xml:space="preserve">  </w:t>
      </w:r>
      <w:r w:rsidRPr="00174D86">
        <w:t>M 35: Jordan, 30.</w:t>
      </w:r>
      <w:r>
        <w:t xml:space="preserve">  </w:t>
      </w:r>
      <w:r w:rsidRPr="00174D86">
        <w:t>M 36: Saudi Arabia, 42, 45.</w:t>
      </w:r>
      <w:r>
        <w:t xml:space="preserve">  </w:t>
      </w:r>
      <w:r w:rsidRPr="00174D86">
        <w:t xml:space="preserve">M 37: Director of RWA, 18. </w:t>
      </w:r>
      <w:r>
        <w:t xml:space="preserve"> </w:t>
      </w:r>
      <w:r w:rsidRPr="00174D86">
        <w:t>M 38: Iraq, 15</w:t>
      </w:r>
      <w:r>
        <w:t xml:space="preserve">.  </w:t>
      </w:r>
      <w:r w:rsidRPr="00174D86">
        <w:t>1955, M 14: Jordan, 4, 5.  M 18: Lebanon, 2.</w:t>
      </w:r>
      <w:r>
        <w:t xml:space="preserve">  </w:t>
      </w:r>
      <w:r w:rsidRPr="00174D86">
        <w:t>M 19: Yemen, 11.</w:t>
      </w:r>
      <w:r>
        <w:t xml:space="preserve">  </w:t>
      </w:r>
      <w:r w:rsidRPr="00174D86">
        <w:t>M 23: Syria, 4; Jordan, 19; Egypt, 29; Saudi Arabia, 39</w:t>
      </w:r>
      <w:r>
        <w:t xml:space="preserve">.  </w:t>
      </w:r>
      <w:r w:rsidRPr="00174D86">
        <w:t>M 24: Director of RWA, 13</w:t>
      </w:r>
      <w:r>
        <w:t>.</w:t>
      </w:r>
    </w:p>
  </w:endnote>
  <w:endnote w:id="71">
    <w:p w14:paraId="594C8D48" w14:textId="77777777" w:rsidR="003B5820" w:rsidRDefault="003B5820" w:rsidP="003B5820">
      <w:pPr>
        <w:pStyle w:val="EndnoteText"/>
      </w:pPr>
      <w:r>
        <w:rPr>
          <w:rStyle w:val="EndnoteReference"/>
        </w:rPr>
        <w:endnoteRef/>
      </w:r>
      <w:r>
        <w:t xml:space="preserve"> Some of the states making this point: </w:t>
      </w:r>
      <w:r w:rsidRPr="00C506D2">
        <w:t>1950 M33: Pakistan, 23.</w:t>
      </w:r>
      <w:r>
        <w:t xml:space="preserve">  </w:t>
      </w:r>
      <w:r w:rsidRPr="00C506D2">
        <w:t>M 64: Burma, 70.</w:t>
      </w:r>
      <w:r>
        <w:t xml:space="preserve">  </w:t>
      </w:r>
      <w:r w:rsidRPr="00C506D2">
        <w:t xml:space="preserve">M 67: Saud Arabia, 34. </w:t>
      </w:r>
      <w:r>
        <w:t xml:space="preserve"> </w:t>
      </w:r>
      <w:r w:rsidRPr="00C506D2">
        <w:t>1951, M 47: Iraq, 50.</w:t>
      </w:r>
      <w:r>
        <w:t xml:space="preserve">  </w:t>
      </w:r>
      <w:r w:rsidRPr="00C506D2">
        <w:t>1952, M 6: Iraq, 38.  1953, M 23: Director of RWA, 6</w:t>
      </w:r>
      <w:r>
        <w:t xml:space="preserve">.  </w:t>
      </w:r>
      <w:r w:rsidRPr="00C506D2">
        <w:t>M 27: Indonesia, 35.</w:t>
      </w:r>
      <w:r>
        <w:t xml:space="preserve">  </w:t>
      </w:r>
      <w:r w:rsidRPr="00C506D2">
        <w:t>M 29: Saudi Arabia, 9.</w:t>
      </w:r>
      <w:r>
        <w:t xml:space="preserve">   </w:t>
      </w:r>
      <w:r w:rsidRPr="00C506D2">
        <w:t>1954, M 28: Director of RWA, 18</w:t>
      </w:r>
      <w:r>
        <w:t xml:space="preserve">.  </w:t>
      </w:r>
      <w:r w:rsidRPr="00C506D2">
        <w:t>M 32: Saudi Arabia, 22</w:t>
      </w:r>
      <w:r>
        <w:t xml:space="preserve">.  </w:t>
      </w:r>
      <w:r w:rsidRPr="00C506D2">
        <w:t>M 34: Afghanistan, 45</w:t>
      </w:r>
      <w:r>
        <w:t xml:space="preserve">; </w:t>
      </w:r>
      <w:r w:rsidRPr="00C506D2">
        <w:t>Indonesia, 49</w:t>
      </w:r>
      <w:r>
        <w:t xml:space="preserve">.  </w:t>
      </w:r>
      <w:r w:rsidRPr="00C506D2">
        <w:t>M 35: Jordan, 27, M 36: Syria, 7, 15</w:t>
      </w:r>
      <w:r>
        <w:t xml:space="preserve">.  </w:t>
      </w:r>
      <w:r w:rsidRPr="00C506D2">
        <w:t xml:space="preserve">1955, M19: Netherlands, 23 speaks </w:t>
      </w:r>
      <w:r>
        <w:t>against</w:t>
      </w:r>
      <w:r w:rsidRPr="00C506D2">
        <w:t xml:space="preserve"> this</w:t>
      </w:r>
      <w:r>
        <w:t xml:space="preserve">.  </w:t>
      </w:r>
      <w:r w:rsidRPr="00C506D2">
        <w:t>M 20: Pakistan, 15</w:t>
      </w:r>
      <w:r>
        <w:t xml:space="preserve">.  </w:t>
      </w:r>
      <w:r w:rsidRPr="00C506D2">
        <w:t>M 23: Syria, 5; Jordan, 15; Philippines, 53</w:t>
      </w:r>
      <w:r>
        <w:t>.</w:t>
      </w:r>
      <w:r w:rsidRPr="00C506D2">
        <w:t xml:space="preserve"> </w:t>
      </w:r>
    </w:p>
  </w:endnote>
  <w:endnote w:id="72">
    <w:p w14:paraId="68D4FBCA" w14:textId="77777777" w:rsidR="003B5820" w:rsidRPr="00340FE2" w:rsidRDefault="003B5820" w:rsidP="003B5820">
      <w:pPr>
        <w:pStyle w:val="EndnoteText"/>
      </w:pPr>
      <w:r>
        <w:rPr>
          <w:rStyle w:val="EndnoteReference"/>
        </w:rPr>
        <w:endnoteRef/>
      </w:r>
      <w:r>
        <w:t xml:space="preserve"> In 1950, M 66: Iraq, 16, the delegate refers to Kelsen’s </w:t>
      </w:r>
      <w:r>
        <w:rPr>
          <w:i/>
          <w:iCs/>
        </w:rPr>
        <w:t xml:space="preserve">Law of the UN </w:t>
      </w:r>
      <w:r>
        <w:t xml:space="preserve">to support the notion that 181 was somehow more than a recommendation and the GA had overstepped, somehow therefore taking responsibility for the whole situation.  Kelsen, 197, accepts that 181 seems to have overstepped the GA’s competences, “These arguments are, from a strictly legal point, correct.”  The material that show how they overstepped is in fn 7, p. 195-6.  Of course, the portion of 181 which exceeds the competences of the GA was never implemented.  Kelsen does not comment on if this mistake might incur obligations.    </w:t>
      </w:r>
    </w:p>
  </w:endnote>
  <w:endnote w:id="73">
    <w:p w14:paraId="4DCC5F28" w14:textId="77777777" w:rsidR="003B5820" w:rsidRPr="00970139" w:rsidRDefault="003B5820" w:rsidP="003B5820">
      <w:pPr>
        <w:pStyle w:val="EndnoteText"/>
      </w:pPr>
      <w:r>
        <w:rPr>
          <w:rStyle w:val="EndnoteReference"/>
        </w:rPr>
        <w:endnoteRef/>
      </w:r>
      <w:r>
        <w:t xml:space="preserve"> Kelsen, </w:t>
      </w:r>
      <w:r>
        <w:rPr>
          <w:i/>
          <w:iCs/>
        </w:rPr>
        <w:t xml:space="preserve">Law of the UN, </w:t>
      </w:r>
      <w:r w:rsidRPr="00970139">
        <w:t>Xiii “Separation of law from politics in the presentation of national or international problems is possible in so far as law is not an end to itself, but a means, or, what amounts to the same, a specific social technique for the achievement of ends determined by politics.  It stands to reason that in dealing with legal questions the elimination of the political issues is always relative, never absolute.  In a merely juristic inquiry the political ends of the law-maker, in so far as they are ascertainable in an objective way, are taken for granted and, hence, not subjected to a criticism, except to a degree that it may properly be restricted to the law as a means to those ends.  ‘Juristic’ in contradistinction to ‘political’ has the connotation of ‘technical.’</w:t>
      </w:r>
    </w:p>
  </w:endnote>
  <w:endnote w:id="74">
    <w:p w14:paraId="346B5527" w14:textId="77777777" w:rsidR="003B5820" w:rsidRDefault="003B5820" w:rsidP="003B5820">
      <w:pPr>
        <w:pStyle w:val="EndnoteText"/>
      </w:pPr>
      <w:r>
        <w:rPr>
          <w:rStyle w:val="EndnoteReference"/>
        </w:rPr>
        <w:endnoteRef/>
      </w:r>
      <w:r>
        <w:t xml:space="preserve"> It is just this reversal of the logical order of things that </w:t>
      </w:r>
      <w:r w:rsidRPr="00595D15">
        <w:t>Edward H.</w:t>
      </w:r>
      <w:r>
        <w:t xml:space="preserve"> </w:t>
      </w:r>
      <w:r w:rsidRPr="00595D15">
        <w:t xml:space="preserve">Carr, </w:t>
      </w:r>
      <w:r w:rsidRPr="00595D15">
        <w:rPr>
          <w:i/>
          <w:iCs/>
        </w:rPr>
        <w:t xml:space="preserve">The Twenty Years’ Crisis 1919-1939: An Introduction to the Study of International Relations, </w:t>
      </w:r>
      <w:r w:rsidRPr="00595D15">
        <w:t>London: Macmillan and Co, 1941 (1</w:t>
      </w:r>
      <w:r w:rsidRPr="00595D15">
        <w:rPr>
          <w:vertAlign w:val="superscript"/>
        </w:rPr>
        <w:t>st</w:t>
      </w:r>
      <w:r w:rsidRPr="00595D15">
        <w:t xml:space="preserve"> pub</w:t>
      </w:r>
      <w:r>
        <w:t>lished</w:t>
      </w:r>
      <w:r w:rsidRPr="00595D15">
        <w:t xml:space="preserve"> 1939)</w:t>
      </w:r>
      <w:r>
        <w:t xml:space="preserve">, p 5-15 is the description of the early period of any study, in which the aim is paramount and is asked to determine the facts.  Because this early period, driven by wish-fulfillment, usually results in a lot of policy failures, it is eventually replaced with a realistic, analytic approach which accepts facts as they are.  Carr makes this fundamental to the utter failure of the LN and international law.  P. </w:t>
      </w:r>
      <w:r w:rsidRPr="00A83CB3">
        <w:t>11-12</w:t>
      </w:r>
      <w:r>
        <w:t xml:space="preserve"> has</w:t>
      </w:r>
      <w:r w:rsidRPr="00A83CB3">
        <w:t xml:space="preserve"> “The teleological aspect of the science of international politics has been conspicuous from the onset.  It took its rise from one of the greatest and most disastrous wars of history; and the overwhelming purpose which dominated and inspired the pioneers of the new science was to obviate a recurrence of this disease of the international body politic.  The passionate desire to prevent war determined the whole initial course and direction of the study.  Like other infant sciences, the science of international politics has been markedly and frankly utopian.  It has been in the initial stage in which wishing prevails over thinking, generalization over observation, and in which little attempt is made at a critical analysis of existing facts or available means.  In this stage, attention is concentrated almost exclusively on the end to be achieved.  The end has seemed so important that analytical criticism of the means proposed has too often been branded as destructive and unhelpful.”</w:t>
      </w:r>
      <w:r>
        <w:t xml:space="preserve">  Had the assembled diplomats at the AHPC really forgotten so basic a critique of their own actions? </w:t>
      </w:r>
    </w:p>
  </w:endnote>
  <w:endnote w:id="75">
    <w:p w14:paraId="14AE87EC" w14:textId="77777777" w:rsidR="003B5820" w:rsidRPr="00D658EF" w:rsidRDefault="003B5820" w:rsidP="003B5820">
      <w:pPr>
        <w:pStyle w:val="EndnoteText"/>
        <w:rPr>
          <w:i/>
          <w:iCs/>
        </w:rPr>
      </w:pPr>
      <w:r>
        <w:rPr>
          <w:rStyle w:val="EndnoteReference"/>
        </w:rPr>
        <w:endnoteRef/>
      </w:r>
      <w:r>
        <w:t xml:space="preserve"> This is brilliantly explained in the first paragraph of Morgenthau, “Positivism,” 260: “</w:t>
      </w:r>
      <w:r w:rsidRPr="009D18E2">
        <w:t>If an event in the physical world contradicts all scientific forecasts, and thus challenges the assumptions on which the forecasts have been based, it is the natural reaction of scientific inquiry to reexamine the foundations of the specific science and attempt to reconcile scientific findings and empirical facts.</w:t>
      </w:r>
      <w:r>
        <w:t xml:space="preserve">  </w:t>
      </w:r>
      <w:r w:rsidRPr="009D18E2">
        <w:t>The social sciences  do not  react  in  the same way</w:t>
      </w:r>
      <w:r>
        <w:t xml:space="preserve">. </w:t>
      </w:r>
      <w:r w:rsidRPr="009D18E2">
        <w:t>They have an inveterate tendency to stick to their assumptions and to suffer constant defeat from experience rather than to change their assumptions in the  light of contradicting facts.1</w:t>
      </w:r>
      <w:r>
        <w:t xml:space="preserve">. </w:t>
      </w:r>
      <w:r w:rsidRPr="009D18E2">
        <w:t>This resistance to change is uppermost in the history  of international  law.</w:t>
      </w:r>
      <w:r>
        <w:t xml:space="preserve">  </w:t>
      </w:r>
      <w:r w:rsidRPr="009D18E2">
        <w:t>All the schemes and devices by which great humanitarians and shrewd politicians endeavored to reorganize the relations between states on the  basis of law, have not stood the  trial of history.</w:t>
      </w:r>
      <w:r w:rsidRPr="009D18E2">
        <w:tab/>
        <w:t>Instead of asking whether the devices were adequate to the problems which they were supposed to solve, it was the general attitude of the internationalists to take the appropriateness of the devices for granted and to blame the facts for the failure.2 When the facts behave otherwise than we have predicted, they seem to say, too bad for the facts.</w:t>
      </w:r>
      <w:r w:rsidRPr="009D18E2">
        <w:tab/>
        <w:t>Not unlike the sorcerers of primitive ages, they attempt to exorcise social evils by the indefatigable repetition of magic formulae.</w:t>
      </w:r>
      <w:r w:rsidRPr="009D18E2">
        <w:tab/>
        <w:t>As the League of Nations was a failure, let us have another League.</w:t>
      </w:r>
      <w:r>
        <w:t xml:space="preserve">  </w:t>
      </w:r>
      <w:r w:rsidRPr="009D18E2">
        <w:t>As the first and second Peace Conferences of the Hague did not succeed, let us have a third one.</w:t>
      </w:r>
      <w:r>
        <w:t xml:space="preserve">  </w:t>
      </w:r>
      <w:r w:rsidRPr="009D18E2">
        <w:t>As arbitration never settled a political conflict which otherwise would have led to war, let us have more arbitration  for  the  prevention of  war.</w:t>
      </w:r>
      <w:r w:rsidRPr="009D18E2">
        <w:tab/>
        <w:t>As the Disarmament Conference was a senseless waste of intellect and time, why not convoke another Disarmament Conference?</w:t>
      </w:r>
      <w:r>
        <w:t xml:space="preserve">”  The thinking about the physical sciences is reflective of Karl Popper’s 1934 </w:t>
      </w:r>
      <w:r>
        <w:rPr>
          <w:i/>
          <w:iCs/>
        </w:rPr>
        <w:t xml:space="preserve">The Logic of Scientific Discovery.  </w:t>
      </w:r>
    </w:p>
  </w:endnote>
  <w:endnote w:id="76">
    <w:p w14:paraId="06A1188B" w14:textId="77777777" w:rsidR="003B5820" w:rsidRDefault="003B5820" w:rsidP="003B5820">
      <w:pPr>
        <w:pStyle w:val="EndnoteText"/>
      </w:pPr>
      <w:r>
        <w:rPr>
          <w:rStyle w:val="EndnoteReference"/>
        </w:rPr>
        <w:endnoteRef/>
      </w:r>
      <w:r>
        <w:t xml:space="preserve"> Again and again, they learned this lesson in the LN era, and with each lesson, the status of the law fell. The exodus of scholars from international law to international relations and political science is the evidence that the majority now believed that the aims of a state were primary, and a blind tool, like law, that trumpeted its impartiality and willingness to rule for totalitarian and democratic states equally was worse than useless in a conflict.  One scholar who stayed with law is Edwin Borchard, but he argues that its role is very small indeed, limited to what states will voluntarily agree to.  In his “</w:t>
      </w:r>
      <w:r w:rsidRPr="0063267B">
        <w:t>The Place of Force in International Law</w:t>
      </w:r>
      <w:r>
        <w:t xml:space="preserve">,” </w:t>
      </w:r>
      <w:r w:rsidRPr="0063267B">
        <w:rPr>
          <w:i/>
        </w:rPr>
        <w:t>The American Journal of International Law</w:t>
      </w:r>
      <w:r w:rsidRPr="0063267B">
        <w:t>. 36, No. 4 (Oct., 1942), p</w:t>
      </w:r>
      <w:r>
        <w:t xml:space="preserve">. </w:t>
      </w:r>
      <w:r w:rsidRPr="007B7A14">
        <w:t xml:space="preserve">629, </w:t>
      </w:r>
      <w:r>
        <w:t xml:space="preserve">and </w:t>
      </w:r>
      <w:r w:rsidRPr="007B7A14">
        <w:t>this on the usefulness of law in solving problems:</w:t>
      </w:r>
      <w:r>
        <w:t xml:space="preserve"> </w:t>
      </w:r>
      <w:r w:rsidRPr="007B7A14">
        <w:t>“…that the forces and factors that motivate masses of people organized as nations are biological, economic, social, psychological, historic and not legal in character;…”</w:t>
      </w:r>
      <w:r>
        <w:t xml:space="preserve">. Later there is </w:t>
      </w:r>
      <w:r w:rsidRPr="007B7A14">
        <w:t>“ It is not easy to subject politics to legal control…”</w:t>
      </w:r>
      <w:r>
        <w:t xml:space="preserve"> His conclusion, 630, includes “…</w:t>
      </w:r>
      <w:r w:rsidRPr="007A2648">
        <w:t>(3) that law plays only a minor part in international social control and that international law cannot be endowed with the instrumentalities and machinery of municipal law;</w:t>
      </w:r>
      <w:r>
        <w:t xml:space="preserve">…”. Another thinker, among so many, </w:t>
      </w:r>
      <w:r w:rsidRPr="00731434">
        <w:t>Payson S. Wild</w:t>
      </w:r>
      <w:r>
        <w:t>, “</w:t>
      </w:r>
      <w:r w:rsidRPr="00731434">
        <w:t>What is the Trouble with International Law?</w:t>
      </w:r>
      <w:r>
        <w:t xml:space="preserve">,” </w:t>
      </w:r>
      <w:r w:rsidRPr="00731434">
        <w:rPr>
          <w:i/>
        </w:rPr>
        <w:t xml:space="preserve">The American Political Science Review, </w:t>
      </w:r>
      <w:r w:rsidRPr="00731434">
        <w:t xml:space="preserve">Vol. 32, No. 3 (Jun., 1938), </w:t>
      </w:r>
      <w:r>
        <w:t xml:space="preserve">p. </w:t>
      </w:r>
      <w:r w:rsidRPr="00731434">
        <w:t>49</w:t>
      </w:r>
      <w:r>
        <w:t>3-9</w:t>
      </w:r>
      <w:r w:rsidRPr="00731434">
        <w:t>4</w:t>
      </w:r>
      <w:r>
        <w:t xml:space="preserve"> concludes “</w:t>
      </w:r>
      <w:r w:rsidRPr="000757EC">
        <w:t>There is a considerable body of international law, true law, in every sense of the word, but there is no point in pretending that</w:t>
      </w:r>
      <w:r>
        <w:t xml:space="preserve"> </w:t>
      </w:r>
      <w:r w:rsidRPr="000757EC">
        <w:t>international law is of vast extent when the world community of interest hardly goes beyond such prosaic items as weights and measures, bubonic plague, and the rights of diplomats.</w:t>
      </w:r>
      <w:r>
        <w:t xml:space="preserve">” He expressly excludes any political conflicts earlier in the article.  </w:t>
      </w:r>
    </w:p>
  </w:endnote>
  <w:endnote w:id="77">
    <w:p w14:paraId="6D373BA0" w14:textId="77777777" w:rsidR="003B5820" w:rsidRDefault="003B5820" w:rsidP="003B5820">
      <w:pPr>
        <w:pStyle w:val="EndnoteText"/>
      </w:pPr>
      <w:r>
        <w:rPr>
          <w:rStyle w:val="EndnoteReference"/>
        </w:rPr>
        <w:endnoteRef/>
      </w:r>
      <w:r>
        <w:t xml:space="preserve"> 1950, M 67: Canada, 50.</w:t>
      </w:r>
    </w:p>
  </w:endnote>
  <w:endnote w:id="78">
    <w:p w14:paraId="7AF74CA0" w14:textId="77777777" w:rsidR="003B5820" w:rsidRPr="00F67447" w:rsidRDefault="003B5820" w:rsidP="003B5820">
      <w:pPr>
        <w:pStyle w:val="EndnoteText"/>
      </w:pPr>
      <w:r>
        <w:rPr>
          <w:rStyle w:val="EndnoteReference"/>
        </w:rPr>
        <w:endnoteRef/>
      </w:r>
      <w:r>
        <w:t xml:space="preserve"> Cantril, </w:t>
      </w:r>
      <w:r>
        <w:rPr>
          <w:i/>
          <w:iCs/>
        </w:rPr>
        <w:t xml:space="preserve">Social Movements, </w:t>
      </w:r>
      <w:r w:rsidRPr="00F67447">
        <w:t>68</w:t>
      </w:r>
      <w:r>
        <w:t>,</w:t>
      </w:r>
      <w:r w:rsidRPr="00F67447">
        <w:t xml:space="preserve"> “And since anger and hatred, rather than anxiety and fear, are more likely to lead to positive, purposive action, the leader will make every attempt to personalize the system, the nation, the evil against which he is rebelling.”</w:t>
      </w:r>
      <w:r>
        <w:t xml:space="preserve">  This same page has the notion that in a critical situation, people will regress to old solutions even if they don’t fit the new context.  </w:t>
      </w:r>
    </w:p>
  </w:endnote>
  <w:endnote w:id="79">
    <w:p w14:paraId="7C439EB7" w14:textId="77777777" w:rsidR="003B5820" w:rsidRDefault="003B5820" w:rsidP="003B5820">
      <w:pPr>
        <w:pStyle w:val="EndnoteText"/>
      </w:pPr>
      <w:r>
        <w:rPr>
          <w:rStyle w:val="EndnoteReference"/>
        </w:rPr>
        <w:endnoteRef/>
      </w:r>
      <w:r>
        <w:t xml:space="preserve"> See fn 49 for references to the Jews’ unique evil, 51 for their connection to Nazis.</w:t>
      </w:r>
    </w:p>
  </w:endnote>
  <w:endnote w:id="80">
    <w:p w14:paraId="492CD7C7" w14:textId="77777777" w:rsidR="003B5820" w:rsidRPr="00E978FD" w:rsidRDefault="003B5820" w:rsidP="003B5820">
      <w:pPr>
        <w:pStyle w:val="EndnoteText"/>
      </w:pPr>
      <w:r>
        <w:rPr>
          <w:rStyle w:val="EndnoteReference"/>
        </w:rPr>
        <w:endnoteRef/>
      </w:r>
      <w:r>
        <w:t xml:space="preserve"> Cantril, </w:t>
      </w:r>
      <w:r>
        <w:rPr>
          <w:i/>
          <w:iCs/>
        </w:rPr>
        <w:t xml:space="preserve">Social Movements, </w:t>
      </w:r>
      <w:r>
        <w:t>73.</w:t>
      </w:r>
    </w:p>
  </w:endnote>
  <w:endnote w:id="81">
    <w:p w14:paraId="585ECC87" w14:textId="77777777" w:rsidR="003B5820" w:rsidRPr="005E5369" w:rsidRDefault="003B5820" w:rsidP="003B5820">
      <w:pPr>
        <w:pStyle w:val="EndnoteText"/>
      </w:pPr>
      <w:r>
        <w:rPr>
          <w:rStyle w:val="EndnoteReference"/>
        </w:rPr>
        <w:endnoteRef/>
      </w:r>
      <w:r>
        <w:t xml:space="preserve"> Cantril, </w:t>
      </w:r>
      <w:r>
        <w:rPr>
          <w:i/>
          <w:iCs/>
        </w:rPr>
        <w:t xml:space="preserve">Social Movements, </w:t>
      </w:r>
      <w:r>
        <w:t xml:space="preserve">41-45 is the section on what he terms ‘self-regard’ which for most people is closely tied to their acceptance by their society.  46 has </w:t>
      </w:r>
      <w:r w:rsidRPr="005E5369">
        <w:t>“Since self-regard, for most people, is so often achieved through social recognition, through status, a good deal of behavior is motivated by the attempt to preserve or to enhance status so that it will be recognized objectively for what it is felt to be or desired to be subjectively.</w:t>
      </w:r>
      <w:r>
        <w:t>”</w:t>
      </w:r>
    </w:p>
  </w:endnote>
  <w:endnote w:id="82">
    <w:p w14:paraId="47D92BB6" w14:textId="77777777" w:rsidR="003B5820" w:rsidRDefault="003B5820" w:rsidP="003B5820">
      <w:pPr>
        <w:pStyle w:val="EndnoteText"/>
      </w:pPr>
      <w:r>
        <w:rPr>
          <w:rStyle w:val="EndnoteReference"/>
        </w:rPr>
        <w:endnoteRef/>
      </w:r>
      <w:r>
        <w:t xml:space="preserve"> Some of the references to this line are: </w:t>
      </w:r>
      <w:r w:rsidRPr="00E444BA">
        <w:t>1950, M 62: Pakistan, 35. M 66: Iraq, 15.</w:t>
      </w:r>
      <w:r>
        <w:t xml:space="preserve"> </w:t>
      </w:r>
      <w:r w:rsidRPr="00E444BA">
        <w:t xml:space="preserve">M 70: Egypt, 46. </w:t>
      </w:r>
      <w:r>
        <w:t xml:space="preserve">  </w:t>
      </w:r>
      <w:r w:rsidRPr="00E444BA">
        <w:t xml:space="preserve">1951, M 47: </w:t>
      </w:r>
      <w:r>
        <w:t xml:space="preserve">Iraq, </w:t>
      </w:r>
      <w:r w:rsidRPr="00E444BA">
        <w:t>44.</w:t>
      </w:r>
      <w:r>
        <w:t xml:space="preserve">  </w:t>
      </w:r>
      <w:r w:rsidRPr="00E444BA">
        <w:t>1952, M 6: Saudi Arabia, 25.</w:t>
      </w:r>
      <w:r>
        <w:t xml:space="preserve">  </w:t>
      </w:r>
      <w:r w:rsidRPr="00E444BA">
        <w:t>M 7: representative of the refugees, 10.  Iraq, 31.</w:t>
      </w:r>
      <w:r>
        <w:t xml:space="preserve">  </w:t>
      </w:r>
      <w:r w:rsidRPr="00E444BA">
        <w:t>1954, M 33: Representative of the Refugees, 15</w:t>
      </w:r>
      <w:r>
        <w:t xml:space="preserve">.  </w:t>
      </w:r>
      <w:r w:rsidRPr="00E444BA">
        <w:t>M 38:; Iraq, 14, “He could not follow the Netherlands representative and forget the past; time could never wipe out injustice.”</w:t>
      </w:r>
      <w:r>
        <w:t xml:space="preserve">. </w:t>
      </w:r>
      <w:r w:rsidRPr="00E444BA">
        <w:t>1955, M 20: Pakistan, 17</w:t>
      </w:r>
      <w:r>
        <w:t>.</w:t>
      </w:r>
    </w:p>
  </w:endnote>
  <w:endnote w:id="83">
    <w:p w14:paraId="716EC8B2" w14:textId="77777777" w:rsidR="003B5820" w:rsidRDefault="003B5820" w:rsidP="003B5820">
      <w:pPr>
        <w:pStyle w:val="EndnoteText"/>
      </w:pPr>
      <w:r>
        <w:rPr>
          <w:rStyle w:val="EndnoteReference"/>
        </w:rPr>
        <w:endnoteRef/>
      </w:r>
      <w:r>
        <w:t xml:space="preserve"> A partial list of these points, and there is some overlap. relief can’t be forever: </w:t>
      </w:r>
      <w:r w:rsidRPr="004415F2">
        <w:t xml:space="preserve">1950 M 35: US, 11, 16; Canada, 23; Turkey, 49. </w:t>
      </w:r>
      <w:r>
        <w:t xml:space="preserve"> </w:t>
      </w:r>
      <w:r w:rsidRPr="004415F2">
        <w:t xml:space="preserve"> M 61: UK 46.  M 62: US, 58.</w:t>
      </w:r>
      <w:r>
        <w:t xml:space="preserve"> </w:t>
      </w:r>
      <w:r w:rsidRPr="004415F2">
        <w:t>1951 M 46: Turkey, 3.</w:t>
      </w:r>
      <w:r>
        <w:t xml:space="preserve"> </w:t>
      </w:r>
      <w:r w:rsidRPr="004415F2">
        <w:t>M 47: Australia: 16; New Zealand, 36.</w:t>
      </w:r>
      <w:r>
        <w:t xml:space="preserve">  </w:t>
      </w:r>
      <w:r w:rsidRPr="004415F2">
        <w:t>1952, M 4: US, 6;  UK, 19;  Canada, 25;  Brazil, 41.</w:t>
      </w:r>
      <w:r>
        <w:t xml:space="preserve"> </w:t>
      </w:r>
      <w:r w:rsidRPr="004415F2">
        <w:t>1953, M 25: US, 5.</w:t>
      </w:r>
      <w:r>
        <w:t xml:space="preserve"> </w:t>
      </w:r>
      <w:r w:rsidRPr="004415F2">
        <w:t>M 26: Greece, 28;  New Zealand, 35.</w:t>
      </w:r>
      <w:r>
        <w:t xml:space="preserve"> </w:t>
      </w:r>
      <w:r w:rsidRPr="004415F2">
        <w:t>M 27: Canada, 25.</w:t>
      </w:r>
      <w:r>
        <w:t xml:space="preserve">  </w:t>
      </w:r>
      <w:r w:rsidRPr="004415F2">
        <w:t>1954, M 29: US, 12, 17; France, 19.</w:t>
      </w:r>
      <w:r>
        <w:t xml:space="preserve">  </w:t>
      </w:r>
      <w:r w:rsidRPr="004415F2">
        <w:t>M 31: Netherlands, 15; New Zealand, 22, 23, 29.</w:t>
      </w:r>
      <w:r>
        <w:t xml:space="preserve">  </w:t>
      </w:r>
      <w:r w:rsidRPr="004415F2">
        <w:t>M 32: US, 5.</w:t>
      </w:r>
      <w:r>
        <w:t xml:space="preserve">  </w:t>
      </w:r>
      <w:r w:rsidRPr="004415F2">
        <w:t>M 33: Canada,25-26.</w:t>
      </w:r>
      <w:r>
        <w:t xml:space="preserve">  </w:t>
      </w:r>
      <w:r w:rsidRPr="004415F2">
        <w:t>M 36: Australia, 3.</w:t>
      </w:r>
      <w:r>
        <w:t xml:space="preserve">  </w:t>
      </w:r>
      <w:r w:rsidRPr="004415F2">
        <w:t>M 38: Norway, 13.</w:t>
      </w:r>
      <w:r>
        <w:t xml:space="preserve">  </w:t>
      </w:r>
      <w:r w:rsidRPr="004415F2">
        <w:t>1955, M 18: Burma, 4.</w:t>
      </w:r>
      <w:r>
        <w:t xml:space="preserve">  </w:t>
      </w:r>
      <w:r w:rsidRPr="004415F2">
        <w:t>M 19: UK, 8; New Zealand, 51.</w:t>
      </w:r>
      <w:r>
        <w:t xml:space="preserve">  </w:t>
      </w:r>
      <w:r w:rsidRPr="004415F2">
        <w:t>M 20: Australia, 7; Panama, 41.</w:t>
      </w:r>
      <w:r>
        <w:t xml:space="preserve">  </w:t>
      </w:r>
      <w:r w:rsidRPr="004415F2">
        <w:t>M 21: Sweden, 7.</w:t>
      </w:r>
      <w:r>
        <w:t xml:space="preserve">  </w:t>
      </w:r>
      <w:r w:rsidRPr="004415F2">
        <w:t>M 23: Canada, 45.</w:t>
      </w:r>
      <w:r>
        <w:t xml:space="preserve">  Against the expansion of relief to others not covered by the UNRWA definition of a refugee is: </w:t>
      </w:r>
      <w:r w:rsidRPr="00E44DFB">
        <w:t xml:space="preserve">1954, M 31: UK, 36.  </w:t>
      </w:r>
      <w:r>
        <w:t xml:space="preserve">  </w:t>
      </w:r>
      <w:r w:rsidRPr="00E44DFB">
        <w:t>M 32: US, 5.</w:t>
      </w:r>
      <w:r>
        <w:t xml:space="preserve">  </w:t>
      </w:r>
      <w:r w:rsidRPr="00E44DFB">
        <w:t>M 33: Canada, 29</w:t>
      </w:r>
      <w:r>
        <w:t xml:space="preserve">. </w:t>
      </w:r>
      <w:r w:rsidRPr="00E44DFB">
        <w:t>1955, M 19: UK, 5</w:t>
      </w:r>
      <w:r>
        <w:t xml:space="preserve">.  </w:t>
      </w:r>
      <w:r w:rsidRPr="00E44DFB">
        <w:t>M 20: Australia, 3</w:t>
      </w:r>
      <w:r>
        <w:t>.</w:t>
      </w:r>
    </w:p>
  </w:endnote>
  <w:endnote w:id="84">
    <w:p w14:paraId="42163DDD" w14:textId="77777777" w:rsidR="003B5820" w:rsidRDefault="003B5820" w:rsidP="003B5820">
      <w:pPr>
        <w:pStyle w:val="EndnoteText"/>
      </w:pPr>
      <w:r>
        <w:rPr>
          <w:rStyle w:val="EndnoteReference"/>
        </w:rPr>
        <w:endnoteRef/>
      </w:r>
      <w:r>
        <w:t xml:space="preserve"> There are many quotes for this but a good example is 1953, </w:t>
      </w:r>
      <w:r w:rsidRPr="00A87B5B">
        <w:t>M 28: Iraq, 10,</w:t>
      </w:r>
      <w:r>
        <w:t xml:space="preserve"> </w:t>
      </w:r>
      <w:r w:rsidRPr="00A87B5B">
        <w:t xml:space="preserve">“In his statement at the 25th meeting, the United States representative had tried to look at both sides of the quarrel as mildly as possible; unfortunately, in a question of that nature, moderation was a sin against right and justice, peace and security.”  </w:t>
      </w:r>
    </w:p>
  </w:endnote>
  <w:endnote w:id="85">
    <w:p w14:paraId="6A502205" w14:textId="77777777" w:rsidR="003B5820" w:rsidRDefault="003B5820" w:rsidP="003B5820">
      <w:pPr>
        <w:pStyle w:val="EndnoteText"/>
      </w:pPr>
      <w:r>
        <w:rPr>
          <w:rStyle w:val="EndnoteReference"/>
        </w:rPr>
        <w:endnoteRef/>
      </w:r>
      <w:r>
        <w:t xml:space="preserve"> Some later examples of this are </w:t>
      </w:r>
      <w:r w:rsidRPr="008D348B">
        <w:t>1954, M 33: France, 30</w:t>
      </w:r>
      <w:r>
        <w:t xml:space="preserve">-35.  He never actually says ‘compromise’ and then retracts these points in M 38: 1.  </w:t>
      </w:r>
      <w:r w:rsidRPr="008D348B">
        <w:t>M 3</w:t>
      </w:r>
      <w:r>
        <w:t>8</w:t>
      </w:r>
      <w:r w:rsidRPr="008D348B">
        <w:t>: Netherlands, 6</w:t>
      </w:r>
      <w:r>
        <w:t xml:space="preserve">.  </w:t>
      </w:r>
      <w:r w:rsidRPr="008D348B">
        <w:t xml:space="preserve">1955 M 18: Burma, 46. </w:t>
      </w:r>
      <w:r>
        <w:t xml:space="preserve">  </w:t>
      </w:r>
      <w:r w:rsidRPr="008D348B">
        <w:t xml:space="preserve">M 19: Netherlands, </w:t>
      </w:r>
      <w:r>
        <w:t xml:space="preserve">22-31, also never says compromise but infers it;  </w:t>
      </w:r>
      <w:r w:rsidRPr="008D348B">
        <w:t>New Zealand,</w:t>
      </w:r>
      <w:r>
        <w:t xml:space="preserve"> </w:t>
      </w:r>
      <w:r w:rsidRPr="008D348B">
        <w:t>54</w:t>
      </w:r>
      <w:r>
        <w:t xml:space="preserve">.  </w:t>
      </w:r>
      <w:r w:rsidRPr="008D348B">
        <w:t>M 20: Australia, 9</w:t>
      </w:r>
      <w:r>
        <w:t xml:space="preserve">. </w:t>
      </w:r>
      <w:r w:rsidRPr="008D348B">
        <w:t>M 21: Sweden, 3, 7</w:t>
      </w:r>
      <w:r>
        <w:t>.</w:t>
      </w:r>
    </w:p>
  </w:endnote>
  <w:endnote w:id="86">
    <w:p w14:paraId="1F3618BF" w14:textId="77777777" w:rsidR="003B5820" w:rsidRDefault="003B5820" w:rsidP="003B5820">
      <w:pPr>
        <w:pStyle w:val="EndnoteText"/>
      </w:pPr>
      <w:r>
        <w:rPr>
          <w:rStyle w:val="EndnoteReference"/>
        </w:rPr>
        <w:endnoteRef/>
      </w:r>
      <w:r>
        <w:t xml:space="preserve"> These are: </w:t>
      </w:r>
      <w:r w:rsidRPr="004E0392">
        <w:t>1950, M 66: Iraq, 16</w:t>
      </w:r>
      <w:r>
        <w:t>;</w:t>
      </w:r>
      <w:r w:rsidRPr="004E0392">
        <w:t xml:space="preserve">  Belgium, 26</w:t>
      </w:r>
      <w:r>
        <w:t xml:space="preserve">; </w:t>
      </w:r>
      <w:r w:rsidRPr="004E0392">
        <w:t>Israel, 55.</w:t>
      </w:r>
      <w:r>
        <w:t xml:space="preserve">  </w:t>
      </w:r>
      <w:r w:rsidRPr="004E0392">
        <w:t>M 68: Iraq, 19</w:t>
      </w:r>
      <w:r>
        <w:t xml:space="preserve">.  </w:t>
      </w:r>
      <w:r w:rsidRPr="004E0392">
        <w:t>1955, M 21: Israel, 18</w:t>
      </w:r>
      <w:r>
        <w:t>.</w:t>
      </w:r>
    </w:p>
  </w:endnote>
  <w:endnote w:id="87">
    <w:p w14:paraId="796025AF" w14:textId="77777777" w:rsidR="003B5820" w:rsidRDefault="003B5820" w:rsidP="003B5820">
      <w:pPr>
        <w:pStyle w:val="EndnoteText"/>
      </w:pPr>
      <w:r>
        <w:rPr>
          <w:rStyle w:val="EndnoteReference"/>
        </w:rPr>
        <w:endnoteRef/>
      </w:r>
      <w:r>
        <w:t xml:space="preserve"> 1953, M 29: Australia, 3.  1955, M 24: Burma, 27.</w:t>
      </w:r>
    </w:p>
  </w:endnote>
  <w:endnote w:id="88">
    <w:p w14:paraId="7892A3A8" w14:textId="77777777" w:rsidR="003B5820" w:rsidRDefault="003B5820" w:rsidP="003B5820">
      <w:pPr>
        <w:pStyle w:val="EndnoteText"/>
      </w:pPr>
      <w:r>
        <w:rPr>
          <w:rStyle w:val="EndnoteReference"/>
        </w:rPr>
        <w:endnoteRef/>
      </w:r>
      <w:r>
        <w:t xml:space="preserve"> States speaking against this point: 1950, M 64: Israel, 9.  </w:t>
      </w:r>
      <w:r w:rsidRPr="00D645C6">
        <w:t>1953, M 27: Netherlands, 30,</w:t>
      </w:r>
      <w:r>
        <w:t xml:space="preserve"> “</w:t>
      </w:r>
      <w:r w:rsidRPr="00D645C6">
        <w:t>The refugee prob</w:t>
      </w:r>
      <w:r>
        <w:t>l</w:t>
      </w:r>
      <w:r w:rsidRPr="00D645C6">
        <w:t>em was first and foremost a humanitarian one. The political, racial or religious factors in which the tragedy had had its source had become merely secondary considerations. To attempt to go back to the origin of the conflict in order to determine  responsibility for the present situation would be a retrograde step. However bitter the feelings in the Arab world, the fate of the refugees would not be served in any way by the apportionment of blame.</w:t>
      </w:r>
      <w:r>
        <w:t xml:space="preserve">. </w:t>
      </w:r>
      <w:r w:rsidRPr="00D645C6">
        <w:t>1954, M 31 Netherlands, 10</w:t>
      </w:r>
      <w:r>
        <w:t xml:space="preserve">.  </w:t>
      </w:r>
      <w:r w:rsidRPr="00D645C6">
        <w:t>M 35: Israel, 10,</w:t>
      </w:r>
      <w:r>
        <w:t xml:space="preserve">. </w:t>
      </w:r>
      <w:r w:rsidRPr="00D645C6">
        <w:t xml:space="preserve">M 38: Netherlands, 7, </w:t>
      </w:r>
      <w:r>
        <w:t>“</w:t>
      </w:r>
      <w:r w:rsidRPr="0059273F">
        <w:t>The resolution just adopted by the Committee must not be construed as an abandonment of the principle of the</w:t>
      </w:r>
      <w:r>
        <w:t xml:space="preserve"> </w:t>
      </w:r>
      <w:r w:rsidRPr="0059273F">
        <w:t>reintegration of the refugees in the economic life of the Near East; that would be sacrificing the future to the</w:t>
      </w:r>
      <w:r>
        <w:t xml:space="preserve"> </w:t>
      </w:r>
      <w:r w:rsidRPr="0059273F">
        <w:t>past, and would be detrimental to the interests of the refugees themselves.</w:t>
      </w:r>
      <w:r>
        <w:t xml:space="preserve">”  </w:t>
      </w:r>
      <w:r w:rsidRPr="00D645C6">
        <w:t>1955, M 19: Greece, 43-44</w:t>
      </w:r>
      <w:r>
        <w:t xml:space="preserve">. </w:t>
      </w:r>
    </w:p>
    <w:p w14:paraId="2C9D5241" w14:textId="77777777" w:rsidR="003B5820" w:rsidRDefault="003B5820" w:rsidP="003B5820">
      <w:pPr>
        <w:pStyle w:val="EndnoteText"/>
      </w:pPr>
      <w:r>
        <w:t>The Netherlands stands out in these discussions as the state most willing to be clear in its desire to settle the refugees and cut a political compromise. 1954, M 31: 11 they say that the refugees are being exploited to further the conflict.   1955, M 19:23, they say that the refugees are a weapon of war.  It is perhaps useful to remember that by this time, the Netherlands had lost its colony in the Muslim world, Indonesia, and so had less need to watch what it said than those states who still had colonies.  Greece has an unusual moment of candor that no one else repeats, 1953, M 26: 32, when it acknowledges that it has nationals living in the Arab world, so it needs to be careful about what it says.</w:t>
      </w:r>
    </w:p>
  </w:endnote>
  <w:endnote w:id="89">
    <w:p w14:paraId="2A694295" w14:textId="77777777" w:rsidR="003B5820" w:rsidRDefault="003B5820" w:rsidP="003B5820">
      <w:pPr>
        <w:pStyle w:val="EndnoteText"/>
      </w:pPr>
      <w:r>
        <w:rPr>
          <w:rStyle w:val="EndnoteReference"/>
        </w:rPr>
        <w:endnoteRef/>
      </w:r>
      <w:r>
        <w:t xml:space="preserve"> One measure of this might be that there are 19 1950 meetings covering 39 hours and 50 minutes; in 1951 there are 6 meetings over 12 hours, 15 minutes; in 1952 there are 5 meetings over 8 hours, 55 minutes; in 1953 there are 8 meetings over 11 hours, 50 minutes; in 1954 there are 11 meetings over 19 hours, 15 minutes; and in 1955 there were 12 meetings over 25 hours, 20 minutes.  </w:t>
      </w:r>
    </w:p>
  </w:endnote>
  <w:endnote w:id="90">
    <w:p w14:paraId="232C2619" w14:textId="77777777" w:rsidR="003B5820" w:rsidRDefault="003B5820" w:rsidP="003B5820">
      <w:pPr>
        <w:pStyle w:val="EndnoteText"/>
      </w:pPr>
      <w:r>
        <w:t xml:space="preserve"> </w:t>
      </w:r>
      <w:r>
        <w:rPr>
          <w:rStyle w:val="EndnoteReference"/>
        </w:rPr>
        <w:endnoteRef/>
      </w:r>
      <w:r>
        <w:t xml:space="preserve"> The Iraqi delegate makes the charge in 1955, M 18: 32, Norway defends their national in 40, IK the same in 41 and Iraq is able to defend his original point in 42.  This is not the only exchange like this.  </w:t>
      </w:r>
    </w:p>
  </w:endnote>
  <w:endnote w:id="91">
    <w:p w14:paraId="6FBE49FF" w14:textId="77777777" w:rsidR="003B5820" w:rsidRDefault="003B5820" w:rsidP="003B5820">
      <w:pPr>
        <w:pStyle w:val="EndnoteText"/>
      </w:pPr>
      <w:r>
        <w:rPr>
          <w:rStyle w:val="EndnoteReference"/>
        </w:rPr>
        <w:endnoteRef/>
      </w:r>
      <w:r>
        <w:t xml:space="preserve"> I have set Israel aside in this discussion because it isn’t part of the community of marks.  Most of its arguments are devoted to placing the refugees in the context of all other refugees of the post-WWII era, all of them created by wars.  They want the usual tools for settling refugees, that have already been shown to be effective, applied to Palestine refugees.  </w:t>
      </w:r>
    </w:p>
  </w:endnote>
  <w:endnote w:id="92">
    <w:p w14:paraId="7229AF53" w14:textId="77777777" w:rsidR="003B5820" w:rsidRPr="003427AF" w:rsidRDefault="003B5820" w:rsidP="003B5820">
      <w:pPr>
        <w:pStyle w:val="EndnoteText"/>
      </w:pPr>
      <w:r>
        <w:rPr>
          <w:rStyle w:val="EndnoteReference"/>
        </w:rPr>
        <w:endnoteRef/>
      </w:r>
      <w:r>
        <w:t xml:space="preserve"> Cantril, </w:t>
      </w:r>
      <w:r>
        <w:rPr>
          <w:i/>
          <w:iCs/>
        </w:rPr>
        <w:t xml:space="preserve">Social Movements, </w:t>
      </w:r>
      <w:r>
        <w:t xml:space="preserve">75, he defines critical ability as the reverse of suggestion: </w:t>
      </w:r>
      <w:r w:rsidRPr="003427AF">
        <w:t xml:space="preserve">“Critical ability may be defined as the </w:t>
      </w:r>
      <w:r w:rsidRPr="003427AF">
        <w:rPr>
          <w:i/>
          <w:iCs/>
        </w:rPr>
        <w:t xml:space="preserve">capacity to evaluate a stimulus in such a way that a person is able to understand its inherent characteristics and to judge and act appropriately.  </w:t>
      </w:r>
      <w:r w:rsidRPr="003427AF">
        <w:t>To say that a person is highly suggestible is to say that he lacks critical ability.”</w:t>
      </w:r>
      <w:r>
        <w:t xml:space="preserve">  On 76, he says that questioning is imperative for critical ability.   </w:t>
      </w:r>
    </w:p>
  </w:endnote>
  <w:endnote w:id="93">
    <w:p w14:paraId="4437EE60" w14:textId="77777777" w:rsidR="003B5820" w:rsidRDefault="003B5820" w:rsidP="003B5820">
      <w:pPr>
        <w:pStyle w:val="EndnoteText"/>
      </w:pPr>
      <w:r>
        <w:rPr>
          <w:rStyle w:val="EndnoteReference"/>
        </w:rPr>
        <w:endnoteRef/>
      </w:r>
      <w:r>
        <w:t xml:space="preserve"> Examples of this are at </w:t>
      </w:r>
      <w:r w:rsidRPr="003B3EB1">
        <w:t xml:space="preserve">1950 M 62: Chair of the Committee, 69 </w:t>
      </w:r>
      <w:r>
        <w:t xml:space="preserve">a </w:t>
      </w:r>
      <w:r w:rsidRPr="003B3EB1">
        <w:t>reminder to stay on the legal.  Uruguay, 70, complains that it is hard to remember what can be discussed and what not.</w:t>
      </w:r>
      <w:r>
        <w:t xml:space="preserve">  1952, M 6: </w:t>
      </w:r>
      <w:r w:rsidRPr="00985EE1">
        <w:t>Chair of the Committee, 41 wants people only to speak on humanitarian aspects of the</w:t>
      </w:r>
      <w:r>
        <w:t xml:space="preserve"> problem.  </w:t>
      </w:r>
      <w:r w:rsidRPr="00985EE1">
        <w:t>M 7: Israel, 12, perhaps uses this sarcastically, that no politics will be talked about?</w:t>
      </w:r>
      <w:r>
        <w:t xml:space="preserve">  </w:t>
      </w:r>
      <w:r w:rsidRPr="00985EE1">
        <w:t>1953, M 25: US, 2, we will only talk about humanitarian and economic issues here.</w:t>
      </w:r>
      <w:r>
        <w:t xml:space="preserve">  </w:t>
      </w:r>
      <w:r w:rsidRPr="00985EE1">
        <w:t>M 27: Netherlands, 30.</w:t>
      </w:r>
      <w:r>
        <w:t xml:space="preserve">  </w:t>
      </w:r>
      <w:r w:rsidRPr="00985EE1">
        <w:t>1955, M 21, India, 13, the Committee can’t talk about politics</w:t>
      </w:r>
      <w:r>
        <w:t>.</w:t>
      </w:r>
    </w:p>
  </w:endnote>
  <w:endnote w:id="94">
    <w:p w14:paraId="30C0B005" w14:textId="77777777" w:rsidR="003B5820" w:rsidRDefault="003B5820" w:rsidP="003B5820">
      <w:pPr>
        <w:pStyle w:val="EndnoteText"/>
      </w:pPr>
      <w:r>
        <w:rPr>
          <w:rStyle w:val="EndnoteReference"/>
        </w:rPr>
        <w:endnoteRef/>
      </w:r>
      <w:r>
        <w:t xml:space="preserve"> 1954 M 34: US, 1, abjectly folds on a position, denying that it said what it clearly had said in a pathetic attempt to stay in good graces with the majority.  This doesn’t rescue it, however, as in the next meeting Syria, 15, and Lebanon, 22, remind the US in no uncertain terms that it had stepped out of line.  It is odd behavior for a state that was picking up 75% of the budget on its own, and thorough aid to the UK and France, probably picking up their part as well.  What are we to make of a state that is paying the piper but allowing others to call the tune even if it is getting quite the opposite of its stated desires?  </w:t>
      </w:r>
    </w:p>
  </w:endnote>
  <w:endnote w:id="95">
    <w:p w14:paraId="6B2D6CCE" w14:textId="77777777" w:rsidR="003B5820" w:rsidRDefault="003B5820" w:rsidP="003B5820">
      <w:pPr>
        <w:pStyle w:val="EndnoteText"/>
      </w:pPr>
      <w:r>
        <w:rPr>
          <w:rStyle w:val="EndnoteReference"/>
        </w:rPr>
        <w:endnoteRef/>
      </w:r>
      <w:r>
        <w:t xml:space="preserve"> Jessup, “Intermediacy,” 18: “</w:t>
      </w:r>
      <w:r w:rsidRPr="00E17094">
        <w:t>. The early posture of Christendom toward the Saracens and that of Moslems toward infidels is perhaps closer</w:t>
      </w:r>
      <w:r>
        <w:t xml:space="preserve"> [to the definition of intermediacy]</w:t>
      </w:r>
      <w:r w:rsidRPr="00E17094">
        <w:t>. The early Moslem thinking recognized a difference between a holy war or</w:t>
      </w:r>
      <w:r>
        <w:t xml:space="preserve"> ‘</w:t>
      </w:r>
      <w:r w:rsidRPr="00E17094">
        <w:t>jehad</w:t>
      </w:r>
      <w:r>
        <w:t xml:space="preserve">’ </w:t>
      </w:r>
      <w:r w:rsidRPr="00E17094">
        <w:t>against the infidels and the perpetual state of hostility which existed even when war was not flagrant. In line with this thinking, as Dean Roscoe Pound has pointed out, up to the middle of the 18th. century, it was Turkey's settled practice not to make treaties of peace but only armistices with the Christian states because the Koran forbade making treaties of peace with the infidels.</w:t>
      </w:r>
      <w:r>
        <w:t xml:space="preserve">”  He mistakes Turkey for the Ottoman Empire here, but it is entirely possible that this reasoning is still with us and was at the time of writing in the Arab/Israeli conflict.  </w:t>
      </w:r>
    </w:p>
  </w:endnote>
  <w:endnote w:id="96">
    <w:p w14:paraId="48B4157E" w14:textId="77777777" w:rsidR="003B5820" w:rsidRDefault="003B5820" w:rsidP="003B5820">
      <w:pPr>
        <w:pStyle w:val="EndnoteText"/>
      </w:pPr>
      <w:r>
        <w:rPr>
          <w:rStyle w:val="EndnoteReference"/>
        </w:rPr>
        <w:endnoteRef/>
      </w:r>
      <w:r>
        <w:t xml:space="preserve"> </w:t>
      </w:r>
      <w:r w:rsidRPr="004F7B96">
        <w:t xml:space="preserve">Folke Bernadotte, </w:t>
      </w:r>
      <w:r w:rsidRPr="004F7B96">
        <w:rPr>
          <w:i/>
        </w:rPr>
        <w:t xml:space="preserve">To Jerusalem, </w:t>
      </w:r>
      <w:r w:rsidRPr="004F7B96">
        <w:t>translated from the Swedish by Joan Bulman, (London: Hodder and Stoughton, 1951)</w:t>
      </w:r>
      <w:r>
        <w:t xml:space="preserve">, 144 and 228 are some of the times that Bernadotte, the lead UN negotiator during the 1948 war, is told by Azzam Pasha, the head of the Arab League, that the Arabs are in for a very long conflict.  </w:t>
      </w:r>
      <w:r w:rsidRPr="004F7B96">
        <w:t>Abba</w:t>
      </w:r>
      <w:r>
        <w:t xml:space="preserve"> </w:t>
      </w:r>
      <w:r w:rsidRPr="004F7B96">
        <w:t xml:space="preserve">Eban, </w:t>
      </w:r>
      <w:r w:rsidRPr="004F7B96">
        <w:rPr>
          <w:i/>
        </w:rPr>
        <w:t xml:space="preserve">Personal Witness: Israel Through My Eyes, </w:t>
      </w:r>
      <w:r w:rsidRPr="004F7B96">
        <w:t>NY, NY: G.P. Putnam’s Sons, 1992</w:t>
      </w:r>
      <w:r>
        <w:t xml:space="preserve">, </w:t>
      </w:r>
      <w:r w:rsidRPr="004F7B96">
        <w:t>197</w:t>
      </w:r>
      <w:r>
        <w:t>,</w:t>
      </w:r>
      <w:r w:rsidRPr="004F7B96">
        <w:t xml:space="preserve"> “Azzam Pasha, the secretary-general of the Arab League, said, “We have a secret weapon which we can use better than guns, and this is time.  As long as we don’t make peace with the Zionists, the war is not over and as long as the war is not over, there is neither victor nor vanquished.  As soon as we recognize the existence of Israel, we shall have admitted by this very act that we are vanquished.”  </w:t>
      </w:r>
      <w:r>
        <w:t xml:space="preserve">The UN Special Committee on Palestine meetings also had plenty of this.  </w:t>
      </w:r>
    </w:p>
  </w:endnote>
  <w:endnote w:id="97">
    <w:p w14:paraId="3FA969F3" w14:textId="77777777" w:rsidR="003B5820" w:rsidRPr="00530D19" w:rsidRDefault="003B5820" w:rsidP="003B5820">
      <w:pPr>
        <w:pStyle w:val="EndnoteText"/>
      </w:pPr>
      <w:r>
        <w:rPr>
          <w:rStyle w:val="EndnoteReference"/>
        </w:rPr>
        <w:endnoteRef/>
      </w:r>
      <w:r>
        <w:t xml:space="preserve"> Kelsen, </w:t>
      </w:r>
      <w:r>
        <w:rPr>
          <w:i/>
          <w:iCs/>
        </w:rPr>
        <w:t xml:space="preserve">Law of the UN, </w:t>
      </w:r>
      <w:r>
        <w:t xml:space="preserve">790, </w:t>
      </w:r>
      <w:r w:rsidRPr="00530D19">
        <w:t xml:space="preserve">“The consequence of such interpretation is that conflicts which arise out of a matter of domestic jurisdiction may remain unsettled.”  </w:t>
      </w:r>
      <w:r>
        <w:t xml:space="preserve">This is part of a section on interpretations of Article 2/7, domestic jurisdiction.  To understand the reasoning, reading more than the one line is necessary.  </w:t>
      </w:r>
    </w:p>
  </w:endnote>
  <w:endnote w:id="98">
    <w:p w14:paraId="61526DAF" w14:textId="77777777" w:rsidR="003B5820" w:rsidRPr="00FE1E81" w:rsidRDefault="003B5820" w:rsidP="003B5820">
      <w:pPr>
        <w:pStyle w:val="EndnoteText"/>
      </w:pPr>
      <w:r>
        <w:rPr>
          <w:rStyle w:val="EndnoteReference"/>
        </w:rPr>
        <w:endnoteRef/>
      </w:r>
      <w:r>
        <w:t xml:space="preserve"> Irwin, </w:t>
      </w:r>
      <w:r>
        <w:rPr>
          <w:i/>
          <w:iCs/>
        </w:rPr>
        <w:t xml:space="preserve">Confessions, </w:t>
      </w:r>
      <w:r>
        <w:t>159.  Ashworth, “Con Man,” 1, has the policeman’s angle on the complicity of the sucker: “</w:t>
      </w:r>
      <w:r w:rsidRPr="00D57C45">
        <w:t>The con man, although known to the police, is far too clever and subtle to lay himself open to arrest on sight, and this, combined with the reluctance of the dupe to advertise his foolishness, has too often left an investigating officer helpless when he knows that a crime has been committed under his nose.</w:t>
      </w:r>
      <w:r>
        <w:t>”</w:t>
      </w:r>
    </w:p>
  </w:endnote>
  <w:endnote w:id="99">
    <w:p w14:paraId="3246CDAF" w14:textId="77777777" w:rsidR="003B5820" w:rsidRPr="00333138" w:rsidRDefault="003B5820" w:rsidP="003B5820">
      <w:pPr>
        <w:pStyle w:val="EndnoteText"/>
      </w:pPr>
      <w:r>
        <w:rPr>
          <w:rStyle w:val="EndnoteReference"/>
        </w:rPr>
        <w:endnoteRef/>
      </w:r>
      <w:r>
        <w:t xml:space="preserve"> Cantril, </w:t>
      </w:r>
      <w:r>
        <w:rPr>
          <w:i/>
          <w:iCs/>
        </w:rPr>
        <w:t xml:space="preserve">Social Movements, </w:t>
      </w:r>
      <w:r w:rsidRPr="00333138">
        <w:t xml:space="preserve">73 “Whether the point of view is based on knowledge and experience is irrelevant </w:t>
      </w:r>
      <w:r w:rsidRPr="00333138">
        <w:rPr>
          <w:i/>
          <w:iCs/>
        </w:rPr>
        <w:t xml:space="preserve">if </w:t>
      </w:r>
      <w:r w:rsidRPr="00333138">
        <w:t>it adequately provides the desired meaning to the individual.”</w:t>
      </w:r>
      <w:r>
        <w:t xml:space="preserve"> Further down is </w:t>
      </w:r>
      <w:r w:rsidRPr="00333138">
        <w:t>“But it does imply that when a frame of reference is tenaciously held, knowledge and facts serve chiefly as stepping stones for more elaborate rationalizations.”</w:t>
      </w:r>
    </w:p>
  </w:endnote>
  <w:endnote w:id="100">
    <w:p w14:paraId="614D76C2" w14:textId="77777777" w:rsidR="003B5820" w:rsidRDefault="003B5820" w:rsidP="003B5820">
      <w:pPr>
        <w:pStyle w:val="EndnoteText"/>
      </w:pPr>
      <w:r>
        <w:rPr>
          <w:rStyle w:val="EndnoteReference"/>
        </w:rPr>
        <w:endnoteRef/>
      </w:r>
      <w:r>
        <w:t xml:space="preserve"> </w:t>
      </w:r>
      <w:r w:rsidRPr="00F70324">
        <w:t>Georg Schwarzenberger</w:t>
      </w:r>
      <w:r>
        <w:t>, “</w:t>
      </w:r>
      <w:r w:rsidRPr="00F70324">
        <w:t>The Rule of Law and the Disintegration of the International Society</w:t>
      </w:r>
      <w:r>
        <w:t xml:space="preserve">,” </w:t>
      </w:r>
      <w:r w:rsidRPr="00F70324">
        <w:rPr>
          <w:i/>
        </w:rPr>
        <w:t xml:space="preserve">The American Journal of International Law </w:t>
      </w:r>
      <w:r w:rsidRPr="00F70324">
        <w:t>33, No. 1 (Jan. 1939)</w:t>
      </w:r>
      <w:r>
        <w:t xml:space="preserve">.  The paper has two parts, and in the first, 56-70, he lays out this distinction and the history of its development.  The second half, about the interwar years and League of Nations would have been much better if only he had remembered what excellent work he had done in the first half.  Oppenheim, </w:t>
      </w:r>
      <w:r>
        <w:rPr>
          <w:i/>
          <w:iCs/>
        </w:rPr>
        <w:t xml:space="preserve">International Law, Vol I, </w:t>
      </w:r>
      <w:r>
        <w:t xml:space="preserve">11-13 has a section on why the international community ought to be considered a community, and is a response to this paper.  It is general and a much weaker argument.  We can be certain that it was a response because Schwarzenberger used Lauterpacht as a prime example of someone who didn’t understand the distinction, p 59, fn 14, sections a,b,e.  The 9 years between the two publications were not kind to the conception of an international community.  These two authors, Schgwarzenberger and Lauterpacht, though both German born and trained, famously never got along and the former only got an academic chair after Lauterpacht died, as he had sabotaged earlier attempts.  An understanding of Schwarzenberger is </w:t>
      </w:r>
      <w:r w:rsidRPr="00872826">
        <w:t xml:space="preserve">Stephanie Steinle, “Georg Schwarzenberger, 1908-1991” in, Beatson, Jack and Zimmermann, Reinhard, </w:t>
      </w:r>
      <w:r w:rsidRPr="00872826">
        <w:rPr>
          <w:i/>
          <w:iCs/>
        </w:rPr>
        <w:t xml:space="preserve">Jurists Uprooted: German-Speaking Émigré-Lawyers in Twentieth-century Britain, </w:t>
      </w:r>
      <w:r w:rsidRPr="00872826">
        <w:t>Oxford: Oxford University Press, 2004</w:t>
      </w:r>
      <w:r>
        <w:t xml:space="preserve">.  On 672 she notes that he was very rude to students who made the mistake of using the phrase ‘international community’ in his classes.  For material on his relationship with Lauterpacht, 671-73.  </w:t>
      </w:r>
    </w:p>
    <w:p w14:paraId="73D1D58D" w14:textId="77777777" w:rsidR="003B5820" w:rsidRDefault="003B5820" w:rsidP="003B5820">
      <w:pPr>
        <w:pStyle w:val="EndnoteText"/>
      </w:pPr>
      <w:r>
        <w:t xml:space="preserve">Three years before, Schwartzenberger published </w:t>
      </w:r>
      <w:r w:rsidRPr="00193D69">
        <w:rPr>
          <w:i/>
          <w:iCs/>
        </w:rPr>
        <w:t xml:space="preserve">The League of Nations and World Order; A Treaty on the Principle of Universality in the Theory and Practice of the League of Nations, </w:t>
      </w:r>
      <w:r w:rsidRPr="00193D69">
        <w:t>Preface by H. A. Smith, London: Constable &amp; Co. Ltd., 1936</w:t>
      </w:r>
      <w:r>
        <w:t>, which asks a closely related question: is it possible to form a universal peace organization of all the states in the world? In some of its aspects, this question asks if a grouping of all states in the world would be a society or a community.  About the experience with the League of Nations, he concludes, 178, “</w:t>
      </w:r>
      <w:r w:rsidRPr="00193D69">
        <w:t>In the absence of a common loyalty, fear, and perhaps to a lesser degree, shame, seem to be the only driving forces on which a universal peace system can rely.”</w:t>
      </w:r>
    </w:p>
  </w:endnote>
  <w:endnote w:id="101">
    <w:p w14:paraId="53FA83B3" w14:textId="77777777" w:rsidR="003B5820" w:rsidRDefault="003B5820" w:rsidP="003B5820">
      <w:pPr>
        <w:pStyle w:val="EndnoteText"/>
      </w:pPr>
      <w:r>
        <w:rPr>
          <w:rStyle w:val="EndnoteReference"/>
        </w:rPr>
        <w:endnoteRef/>
      </w:r>
      <w:r>
        <w:t xml:space="preserve"> Schwarzenberger, “Disintegration of Society,” 59-60.  </w:t>
      </w:r>
    </w:p>
  </w:endnote>
  <w:endnote w:id="102">
    <w:p w14:paraId="4C9B3F12" w14:textId="77777777" w:rsidR="003B5820" w:rsidRDefault="003B5820" w:rsidP="003B5820">
      <w:pPr>
        <w:pStyle w:val="EndnoteText"/>
      </w:pPr>
      <w:r>
        <w:rPr>
          <w:rStyle w:val="EndnoteReference"/>
        </w:rPr>
        <w:endnoteRef/>
      </w:r>
      <w:r>
        <w:t xml:space="preserve"> Ibid, 60.</w:t>
      </w:r>
    </w:p>
  </w:endnote>
  <w:endnote w:id="103">
    <w:p w14:paraId="7ACF7598" w14:textId="77777777" w:rsidR="003B5820" w:rsidRDefault="003B5820" w:rsidP="003B5820">
      <w:pPr>
        <w:pStyle w:val="EndnoteText"/>
      </w:pPr>
      <w:r>
        <w:rPr>
          <w:rStyle w:val="EndnoteReference"/>
        </w:rPr>
        <w:endnoteRef/>
      </w:r>
      <w:r>
        <w:t xml:space="preserve"> Ibid, 61 for both quotes.</w:t>
      </w:r>
    </w:p>
  </w:endnote>
  <w:endnote w:id="104">
    <w:p w14:paraId="03DF432E" w14:textId="77777777" w:rsidR="003B5820" w:rsidRDefault="003B5820" w:rsidP="003B5820">
      <w:pPr>
        <w:pStyle w:val="EndnoteText"/>
      </w:pPr>
      <w:r>
        <w:rPr>
          <w:rStyle w:val="EndnoteReference"/>
        </w:rPr>
        <w:endnoteRef/>
      </w:r>
      <w:r>
        <w:t xml:space="preserve"> Ibid, 65-6 for the way positivism continues and reinforces the trend.</w:t>
      </w:r>
    </w:p>
  </w:endnote>
  <w:endnote w:id="105">
    <w:p w14:paraId="2720F209" w14:textId="77777777" w:rsidR="003B5820" w:rsidRDefault="003B5820" w:rsidP="003B5820">
      <w:pPr>
        <w:pStyle w:val="EndnoteText"/>
      </w:pPr>
      <w:r>
        <w:rPr>
          <w:rStyle w:val="EndnoteReference"/>
        </w:rPr>
        <w:endnoteRef/>
      </w:r>
      <w:r>
        <w:t xml:space="preserve"> Ibid, 66. </w:t>
      </w:r>
    </w:p>
  </w:endnote>
  <w:endnote w:id="106">
    <w:p w14:paraId="35F21132" w14:textId="77777777" w:rsidR="003B5820" w:rsidRDefault="003B5820" w:rsidP="003B5820">
      <w:pPr>
        <w:pStyle w:val="EndnoteText"/>
      </w:pPr>
      <w:r>
        <w:rPr>
          <w:rStyle w:val="EndnoteReference"/>
        </w:rPr>
        <w:endnoteRef/>
      </w:r>
      <w:r>
        <w:t xml:space="preserve"> This is made explicit in </w:t>
      </w:r>
      <w:r w:rsidRPr="0075473E">
        <w:t xml:space="preserve">Percy E. Corbett, “Power and Justice” in </w:t>
      </w:r>
      <w:r w:rsidRPr="0075473E">
        <w:rPr>
          <w:i/>
          <w:iCs/>
        </w:rPr>
        <w:t xml:space="preserve">Peace, Security and the United Nations, </w:t>
      </w:r>
      <w:r w:rsidRPr="0075473E">
        <w:t>ed by Hans Morgenthau, (Chicago: University of Chicago Press, 1946),</w:t>
      </w:r>
      <w:r>
        <w:t xml:space="preserve"> </w:t>
      </w:r>
      <w:r w:rsidRPr="0075473E">
        <w:t>17 “In my view the term ‘justice’ is appropriate only to communities a good deal more integrated than the UN.  A unified working concept of justice, as distinguished from a paper abstraction, exists only where there is a highly developed sense of community; and the equal application of the common standard implies a monopoly of judgement and a monopoly of force in the community as an entity.”</w:t>
      </w:r>
    </w:p>
  </w:endnote>
  <w:endnote w:id="107">
    <w:p w14:paraId="228A8169" w14:textId="77777777" w:rsidR="003B5820" w:rsidRDefault="003B5820" w:rsidP="003B5820">
      <w:pPr>
        <w:pStyle w:val="EndnoteText"/>
      </w:pPr>
      <w:r>
        <w:rPr>
          <w:rStyle w:val="EndnoteReference"/>
        </w:rPr>
        <w:endnoteRef/>
      </w:r>
      <w:r>
        <w:t xml:space="preserve"> My understanding of Nazi conceptions of international law comes from </w:t>
      </w:r>
      <w:r w:rsidRPr="00F90E9E">
        <w:t>Virginia L. Gott</w:t>
      </w:r>
      <w:r>
        <w:t>, “</w:t>
      </w:r>
      <w:r w:rsidRPr="00F90E9E">
        <w:t>The National Socialist Theory of International Law</w:t>
      </w:r>
      <w:r>
        <w:t xml:space="preserve">,” </w:t>
      </w:r>
      <w:r w:rsidRPr="00F90E9E">
        <w:rPr>
          <w:i/>
        </w:rPr>
        <w:t xml:space="preserve">The American Journal of International Law </w:t>
      </w:r>
      <w:r w:rsidRPr="00F90E9E">
        <w:t>32, No. 4 (Oct., 1938),</w:t>
      </w:r>
      <w:r>
        <w:t xml:space="preserve"> p 705 for definitions of the terms.  It is easy to push the parallel too far; while both start from the same division, Nazi thinking, about law and everything else, puts race and German supremacy at the very center, and there isn’t a whiff of that in Schwarzenberger.  Note that the paper must have been written before the Munich Agreement and all of the material in it was open and available to Western leaders before they imposed the destruction of Czechoslovakia.</w:t>
      </w:r>
    </w:p>
  </w:endnote>
  <w:endnote w:id="108">
    <w:p w14:paraId="36934F3E" w14:textId="77777777" w:rsidR="003B5820" w:rsidRDefault="003B5820" w:rsidP="003B5820">
      <w:pPr>
        <w:pStyle w:val="EndnoteText"/>
      </w:pPr>
      <w:r>
        <w:rPr>
          <w:rStyle w:val="EndnoteReference"/>
        </w:rPr>
        <w:endnoteRef/>
      </w:r>
      <w:r>
        <w:t xml:space="preserve"> Ibid, 705-6, the Nazi legal scholars are explicit that this is particularist natural law.  Schwarzenberger is less willing to use the term for his community law, but he gets close and it is often implicit. </w:t>
      </w:r>
    </w:p>
  </w:endnote>
  <w:endnote w:id="109">
    <w:p w14:paraId="4C53DCE8" w14:textId="77777777" w:rsidR="003B5820" w:rsidRDefault="003B5820" w:rsidP="003B5820">
      <w:pPr>
        <w:pStyle w:val="EndnoteText"/>
      </w:pPr>
      <w:r>
        <w:rPr>
          <w:rStyle w:val="EndnoteReference"/>
        </w:rPr>
        <w:endnoteRef/>
      </w:r>
      <w:r>
        <w:t xml:space="preserve"> Ibid, 706, the quote is from legal scholar Norbert Gurke.  She continues, 708, “</w:t>
      </w:r>
      <w:r w:rsidRPr="002C3992">
        <w:t>This international law is, like all law, conditioned  by  the  form  of  social life it governs.</w:t>
      </w:r>
      <w:r>
        <w:t xml:space="preserve"> </w:t>
      </w:r>
      <w:r w:rsidRPr="002C3992">
        <w:t xml:space="preserve"> International law governs  the  </w:t>
      </w:r>
      <w:r w:rsidRPr="002C3992">
        <w:rPr>
          <w:i/>
        </w:rPr>
        <w:t xml:space="preserve">Gesellschaft,  </w:t>
      </w:r>
      <w:r w:rsidRPr="002C3992">
        <w:t xml:space="preserve">a  society founded upon the individualism and the egoism  of  its  members.  Self­interest is the only basis for accord in this Hobbesian society. The </w:t>
      </w:r>
      <w:r w:rsidRPr="002C3992">
        <w:rPr>
          <w:i/>
        </w:rPr>
        <w:t>Gesel</w:t>
      </w:r>
      <w:r>
        <w:rPr>
          <w:i/>
        </w:rPr>
        <w:t>l</w:t>
      </w:r>
      <w:r w:rsidRPr="002C3992">
        <w:rPr>
          <w:i/>
        </w:rPr>
        <w:t xml:space="preserve">schaft </w:t>
      </w:r>
      <w:r w:rsidRPr="002C3992">
        <w:t>is not a natural but an artificial society, because it is the result of purposeful thought and not the  natural,  spontaneous  expression  of  will</w:t>
      </w:r>
      <w:r>
        <w:t>.”</w:t>
      </w:r>
    </w:p>
  </w:endnote>
  <w:endnote w:id="110">
    <w:p w14:paraId="484E92E3" w14:textId="77777777" w:rsidR="003B5820" w:rsidRDefault="003B5820" w:rsidP="003B5820">
      <w:pPr>
        <w:pStyle w:val="EndnoteText"/>
      </w:pPr>
      <w:r>
        <w:rPr>
          <w:rStyle w:val="EndnoteReference"/>
        </w:rPr>
        <w:endnoteRef/>
      </w:r>
      <w:r>
        <w:t xml:space="preserve"> Ibid, 709.</w:t>
      </w:r>
    </w:p>
  </w:endnote>
  <w:endnote w:id="111">
    <w:p w14:paraId="0965E9CE" w14:textId="77777777" w:rsidR="003B5820" w:rsidRDefault="003B5820" w:rsidP="003B5820">
      <w:pPr>
        <w:pStyle w:val="EndnoteText"/>
      </w:pPr>
      <w:r>
        <w:rPr>
          <w:rStyle w:val="EndnoteReference"/>
        </w:rPr>
        <w:endnoteRef/>
      </w:r>
      <w:r>
        <w:t xml:space="preserve"> For Germany claiming that it can only keep treaties that it believes in, and that this is consistent with general international law, ibid. 710 and 712-13.  This latter part is a discussion of their attitude to </w:t>
      </w:r>
      <w:r w:rsidRPr="00440B31">
        <w:rPr>
          <w:i/>
          <w:iCs/>
        </w:rPr>
        <w:t>pacta sunt servanda</w:t>
      </w:r>
      <w:r>
        <w:rPr>
          <w:i/>
          <w:iCs/>
        </w:rPr>
        <w:t xml:space="preserve">.  </w:t>
      </w:r>
      <w:r>
        <w:t xml:space="preserve"> For violence, 716, “</w:t>
      </w:r>
      <w:r w:rsidRPr="00440B31">
        <w:t xml:space="preserve">As Nicolai plainly puts it, </w:t>
      </w:r>
      <w:r>
        <w:t>‘</w:t>
      </w:r>
      <w:r w:rsidRPr="00440B31">
        <w:t>the strong have the right over the weak and they have the right to demand that the weak give way to them, that they relinquish land where the strong can settle and provide for their descendants.</w:t>
      </w:r>
      <w:r>
        <w:t>’</w:t>
      </w:r>
      <w:r w:rsidRPr="00440B31">
        <w:t>"</w:t>
      </w:r>
      <w:r>
        <w:t xml:space="preserve">  For degradation, ibid, 709, “</w:t>
      </w:r>
      <w:r w:rsidRPr="00F562A7">
        <w:t>And the law, both national and international, based upon this concept</w:t>
      </w:r>
      <w:r>
        <w:t xml:space="preserve"> [of morality]</w:t>
      </w:r>
      <w:r w:rsidRPr="00F562A7">
        <w:t>, if we are to be realistic, is to serve not in uniting nations but in clearing the way for the dominance of the German</w:t>
      </w:r>
      <w:r>
        <w:t xml:space="preserve"> Volk.”</w:t>
      </w:r>
    </w:p>
  </w:endnote>
  <w:endnote w:id="112">
    <w:p w14:paraId="25C7476C" w14:textId="77777777" w:rsidR="003B5820" w:rsidRDefault="003B5820" w:rsidP="003B5820">
      <w:pPr>
        <w:pStyle w:val="EndnoteText"/>
      </w:pPr>
      <w:r>
        <w:rPr>
          <w:rStyle w:val="EndnoteReference"/>
        </w:rPr>
        <w:endnoteRef/>
      </w:r>
      <w:r>
        <w:t xml:space="preserve"> The fair is a lot like the circus.  It is useful to look at a description of suckers at the fair: Gorham, </w:t>
      </w:r>
      <w:r>
        <w:rPr>
          <w:i/>
          <w:iCs/>
        </w:rPr>
        <w:t xml:space="preserve">Showmen, </w:t>
      </w:r>
      <w:r>
        <w:t xml:space="preserve">5, </w:t>
      </w:r>
      <w:r w:rsidRPr="002441BB">
        <w:t>“They [people coming back from a day at the fair or some such entertainment] are tired, happy and rather dazed.  They have exposed themselves to all sorts of privations, put themselves in bodily fear, done things that endangered their own safety and watched things that made their hearts miss a beat.  They have paid money to be knocked about, scared, humiliated, and taken in.  They are sore all over, giddy, penniless, their worldly wealth drained from them and nothing to show for it but a couple of coconuts and a hideous china vase.  In the grey light of a workday morning they may wonder why they did it; but for the moment they are perfectly happy.  They have let the sucker in them have his fling and he has given them a thoroughly good time.”</w:t>
      </w:r>
      <w:r>
        <w:t xml:space="preserve">  If one compares this to Cantril’s description of the tools of social engineering used at Nazi party rallies, 260-262, one can see that the only detail not common is coconuts; Nazis certainly had hideous vases.  This is part of a larger section on Nazi techniques, 255-66.  </w:t>
      </w:r>
    </w:p>
    <w:p w14:paraId="690BCDED" w14:textId="77777777" w:rsidR="003B5820" w:rsidRDefault="003B5820" w:rsidP="003B5820"/>
    <w:p w14:paraId="04E7F92F" w14:textId="77777777" w:rsidR="003B5820" w:rsidRDefault="003B5820" w:rsidP="003B5820"/>
    <w:p w14:paraId="524F2BC2" w14:textId="77777777" w:rsidR="003B5820" w:rsidRDefault="003B5820" w:rsidP="003B5820"/>
    <w:p w14:paraId="424E8758" w14:textId="77777777" w:rsidR="003B5820" w:rsidRDefault="003B5820" w:rsidP="003B5820">
      <w:r>
        <w:t>Cited works</w:t>
      </w:r>
    </w:p>
    <w:p w14:paraId="59AB1AF3" w14:textId="77777777" w:rsidR="003B5820" w:rsidRDefault="003B5820" w:rsidP="003B5820">
      <w:r w:rsidRPr="006841AD">
        <w:t>Alexander, Horace</w:t>
      </w:r>
      <w:r>
        <w:t>.</w:t>
      </w:r>
      <w:r w:rsidRPr="006841AD">
        <w:t xml:space="preserve"> </w:t>
      </w:r>
      <w:r w:rsidRPr="006841AD">
        <w:rPr>
          <w:i/>
          <w:iCs/>
        </w:rPr>
        <w:t>New Citizens of India</w:t>
      </w:r>
      <w:r>
        <w:rPr>
          <w:i/>
          <w:iCs/>
        </w:rPr>
        <w:t>.</w:t>
      </w:r>
      <w:r w:rsidRPr="006841AD">
        <w:rPr>
          <w:i/>
          <w:iCs/>
        </w:rPr>
        <w:t xml:space="preserve"> </w:t>
      </w:r>
      <w:r w:rsidRPr="006841AD">
        <w:t>London: Oxford University Press, 1951</w:t>
      </w:r>
      <w:r>
        <w:t>.</w:t>
      </w:r>
    </w:p>
    <w:p w14:paraId="1435D045" w14:textId="77777777" w:rsidR="003B5820" w:rsidRDefault="003B5820" w:rsidP="003B5820">
      <w:r w:rsidRPr="0033638B">
        <w:t>Ashworth, Tom</w:t>
      </w:r>
      <w:r>
        <w:t>.</w:t>
      </w:r>
      <w:r w:rsidRPr="0033638B">
        <w:t xml:space="preserve"> “The Con Man: A Different Angle of Approach</w:t>
      </w:r>
      <w:r>
        <w:t>.</w:t>
      </w:r>
      <w:r w:rsidRPr="0033638B">
        <w:t xml:space="preserve">” </w:t>
      </w:r>
      <w:r w:rsidRPr="0033638B">
        <w:rPr>
          <w:i/>
          <w:iCs/>
        </w:rPr>
        <w:t xml:space="preserve">The Police Journal: Theory, Practice and Principles </w:t>
      </w:r>
      <w:r w:rsidRPr="0033638B">
        <w:t xml:space="preserve">12, No. 1, </w:t>
      </w:r>
      <w:r>
        <w:t>(</w:t>
      </w:r>
      <w:r w:rsidRPr="0033638B">
        <w:t>1939</w:t>
      </w:r>
      <w:r>
        <w:t>): pp. 53-72.</w:t>
      </w:r>
    </w:p>
    <w:p w14:paraId="6F83A16F" w14:textId="77777777" w:rsidR="003B5820" w:rsidRDefault="003B5820" w:rsidP="003B5820">
      <w:r w:rsidRPr="00EB63E7">
        <w:t>Bernadotte, Folke</w:t>
      </w:r>
      <w:r>
        <w:t>.</w:t>
      </w:r>
      <w:r w:rsidRPr="00EB63E7">
        <w:t xml:space="preserve"> </w:t>
      </w:r>
      <w:r w:rsidRPr="00EB63E7">
        <w:rPr>
          <w:i/>
        </w:rPr>
        <w:t xml:space="preserve">To Jerusalem, </w:t>
      </w:r>
      <w:r w:rsidRPr="00EB63E7">
        <w:t>translated from the Swedish by Joan Bulman</w:t>
      </w:r>
      <w:r>
        <w:t>.</w:t>
      </w:r>
      <w:r w:rsidRPr="00EB63E7">
        <w:t xml:space="preserve"> London: Hodder and Stoughton, 1951</w:t>
      </w:r>
      <w:r>
        <w:t>.</w:t>
      </w:r>
    </w:p>
    <w:p w14:paraId="27D50C46" w14:textId="77777777" w:rsidR="003B5820" w:rsidRDefault="003B5820" w:rsidP="003B5820">
      <w:r w:rsidRPr="00CF48EF">
        <w:t>Borchard</w:t>
      </w:r>
      <w:r>
        <w:t xml:space="preserve">. </w:t>
      </w:r>
      <w:r w:rsidRPr="00CF48EF">
        <w:t>Edwin</w:t>
      </w:r>
      <w:r>
        <w:t>.</w:t>
      </w:r>
      <w:r w:rsidRPr="00CF48EF">
        <w:t xml:space="preserve"> </w:t>
      </w:r>
      <w:r w:rsidRPr="00D57598">
        <w:t>“The Place of Force in International Law</w:t>
      </w:r>
      <w:r>
        <w:t>.</w:t>
      </w:r>
      <w:r w:rsidRPr="00D57598">
        <w:t xml:space="preserve">” </w:t>
      </w:r>
      <w:r w:rsidRPr="00D57598">
        <w:rPr>
          <w:i/>
        </w:rPr>
        <w:t>The American Journal of International Law</w:t>
      </w:r>
      <w:r w:rsidRPr="00D57598">
        <w:t>. 36, No. 4 (Oct. 1942)</w:t>
      </w:r>
      <w:r>
        <w:t>:</w:t>
      </w:r>
      <w:r w:rsidRPr="00D57598">
        <w:t xml:space="preserve"> pp. 628-631</w:t>
      </w:r>
      <w:r>
        <w:t>.</w:t>
      </w:r>
      <w:r w:rsidRPr="00D57598">
        <w:t xml:space="preserve">  </w:t>
      </w:r>
    </w:p>
    <w:p w14:paraId="334490F4" w14:textId="77777777" w:rsidR="003B5820" w:rsidRDefault="003B5820" w:rsidP="003B5820">
      <w:r w:rsidRPr="00CF48EF">
        <w:t>Borchard</w:t>
      </w:r>
      <w:r>
        <w:t xml:space="preserve">. </w:t>
      </w:r>
      <w:r w:rsidRPr="00CF48EF">
        <w:t>Edwin</w:t>
      </w:r>
      <w:r>
        <w:t>.</w:t>
      </w:r>
      <w:r w:rsidRPr="00CF48EF">
        <w:t xml:space="preserve"> Reviewed Work(s): The International Problem of Governing Mankind</w:t>
      </w:r>
      <w:r>
        <w:t>,</w:t>
      </w:r>
      <w:r w:rsidRPr="00CF48EF">
        <w:t xml:space="preserve"> by Philip C. Jessup</w:t>
      </w:r>
      <w:r>
        <w:t>.</w:t>
      </w:r>
      <w:r w:rsidRPr="00CF48EF">
        <w:t xml:space="preserve"> </w:t>
      </w:r>
      <w:r w:rsidRPr="00CF48EF">
        <w:rPr>
          <w:i/>
        </w:rPr>
        <w:t>The American Journal of International Law</w:t>
      </w:r>
      <w:r w:rsidRPr="00CF48EF">
        <w:t>. 42, No. 2 (Apr</w:t>
      </w:r>
      <w:r>
        <w:t>il</w:t>
      </w:r>
      <w:r w:rsidRPr="00CF48EF">
        <w:t xml:space="preserve"> 1948)</w:t>
      </w:r>
      <w:r>
        <w:t>:</w:t>
      </w:r>
      <w:r w:rsidRPr="00CF48EF">
        <w:t xml:space="preserve"> pp. 528-529</w:t>
      </w:r>
      <w:r>
        <w:t>.</w:t>
      </w:r>
    </w:p>
    <w:p w14:paraId="6879AAF8" w14:textId="77777777" w:rsidR="003B5820" w:rsidRDefault="003B5820" w:rsidP="003B5820">
      <w:r w:rsidRPr="007F78D9">
        <w:t>Briggs, Herbert W. “Implementation of the Proposed International Covenant on Human Rights</w:t>
      </w:r>
      <w:r>
        <w:t>.</w:t>
      </w:r>
      <w:r w:rsidRPr="007F78D9">
        <w:t xml:space="preserve">” </w:t>
      </w:r>
      <w:r w:rsidRPr="007F78D9">
        <w:rPr>
          <w:i/>
        </w:rPr>
        <w:t xml:space="preserve">The American Journal of International Law </w:t>
      </w:r>
      <w:r w:rsidRPr="007F78D9">
        <w:t>42, No. 2 (Apr</w:t>
      </w:r>
      <w:r>
        <w:t>il</w:t>
      </w:r>
      <w:r w:rsidRPr="007F78D9">
        <w:t xml:space="preserve"> 1948)</w:t>
      </w:r>
      <w:r>
        <w:t>:</w:t>
      </w:r>
      <w:r w:rsidRPr="007F78D9">
        <w:t xml:space="preserve"> pp. 389-397</w:t>
      </w:r>
      <w:r>
        <w:t>.</w:t>
      </w:r>
    </w:p>
    <w:p w14:paraId="1EA0CD21" w14:textId="77777777" w:rsidR="003B5820" w:rsidRDefault="003B5820" w:rsidP="003B5820">
      <w:r>
        <w:t xml:space="preserve">Cantril, Hadley. </w:t>
      </w:r>
      <w:r>
        <w:rPr>
          <w:i/>
          <w:iCs/>
        </w:rPr>
        <w:t xml:space="preserve">The Psychology of Social Movements. </w:t>
      </w:r>
      <w:r>
        <w:t>New York: John Wiley and Sons, Inc., 1941.</w:t>
      </w:r>
    </w:p>
    <w:p w14:paraId="19EA2715" w14:textId="77777777" w:rsidR="003B5820" w:rsidRDefault="003B5820" w:rsidP="003B5820">
      <w:r w:rsidRPr="00595D15">
        <w:t xml:space="preserve">Carr, Edward H. </w:t>
      </w:r>
      <w:r w:rsidRPr="00595D15">
        <w:rPr>
          <w:i/>
          <w:iCs/>
        </w:rPr>
        <w:t>The Twenty Years’ Crisis 1919-1939: An Introduction to the Study of International Relations</w:t>
      </w:r>
      <w:r>
        <w:rPr>
          <w:i/>
          <w:iCs/>
        </w:rPr>
        <w:t>.</w:t>
      </w:r>
      <w:r w:rsidRPr="00595D15">
        <w:rPr>
          <w:i/>
          <w:iCs/>
        </w:rPr>
        <w:t xml:space="preserve"> </w:t>
      </w:r>
      <w:r w:rsidRPr="00595D15">
        <w:t>London: Macmillan and Co, 1941 (1</w:t>
      </w:r>
      <w:r w:rsidRPr="00595D15">
        <w:rPr>
          <w:vertAlign w:val="superscript"/>
        </w:rPr>
        <w:t>st</w:t>
      </w:r>
      <w:r w:rsidRPr="00595D15">
        <w:t xml:space="preserve"> pub</w:t>
      </w:r>
      <w:r>
        <w:t>lished</w:t>
      </w:r>
      <w:r w:rsidRPr="00595D15">
        <w:t xml:space="preserve"> 1939)</w:t>
      </w:r>
      <w:r>
        <w:t>.</w:t>
      </w:r>
    </w:p>
    <w:p w14:paraId="46EA1E08" w14:textId="77777777" w:rsidR="003B5820" w:rsidRDefault="003B5820" w:rsidP="003B5820">
      <w:r w:rsidRPr="00201124">
        <w:t xml:space="preserve">Corbett, Percy E. “Power and Justice.” in </w:t>
      </w:r>
      <w:r w:rsidRPr="00201124">
        <w:rPr>
          <w:i/>
          <w:iCs/>
        </w:rPr>
        <w:t xml:space="preserve">Peace, Security and the United Nations, </w:t>
      </w:r>
      <w:r w:rsidRPr="00201124">
        <w:t>ed by Hans Morgenthau, Chicago: University of Chicago Press, 1946, 11-24.</w:t>
      </w:r>
    </w:p>
    <w:p w14:paraId="1E8EE4BC" w14:textId="77777777" w:rsidR="003B5820" w:rsidRDefault="003B5820" w:rsidP="003B5820">
      <w:r w:rsidRPr="00EB63E7">
        <w:t>Eban, Abba</w:t>
      </w:r>
      <w:r>
        <w:t>.</w:t>
      </w:r>
      <w:r w:rsidRPr="00EB63E7">
        <w:t xml:space="preserve"> </w:t>
      </w:r>
      <w:r w:rsidRPr="00EB63E7">
        <w:rPr>
          <w:i/>
        </w:rPr>
        <w:t>Personal Witness: Israel Through My Eyes</w:t>
      </w:r>
      <w:r>
        <w:rPr>
          <w:i/>
        </w:rPr>
        <w:t>.</w:t>
      </w:r>
      <w:r w:rsidRPr="00EB63E7">
        <w:rPr>
          <w:i/>
        </w:rPr>
        <w:t xml:space="preserve"> </w:t>
      </w:r>
      <w:r w:rsidRPr="00EB63E7">
        <w:t>NY, NY: G.P. Putnam’s Sons, 1992</w:t>
      </w:r>
      <w:r>
        <w:t>.</w:t>
      </w:r>
    </w:p>
    <w:p w14:paraId="6AE9D33D" w14:textId="77777777" w:rsidR="003B5820" w:rsidRDefault="003B5820" w:rsidP="003B5820">
      <w:r w:rsidRPr="008A0D85">
        <w:t>Gorham, Maurice</w:t>
      </w:r>
      <w:r>
        <w:t>.</w:t>
      </w:r>
      <w:r w:rsidRPr="008A0D85">
        <w:t xml:space="preserve"> </w:t>
      </w:r>
      <w:r w:rsidRPr="008A0D85">
        <w:rPr>
          <w:i/>
          <w:iCs/>
        </w:rPr>
        <w:t>Showmen and Suckers: An excursion on the crazy fringe of the entertainment world</w:t>
      </w:r>
      <w:r>
        <w:rPr>
          <w:i/>
          <w:iCs/>
        </w:rPr>
        <w:t>.</w:t>
      </w:r>
      <w:r w:rsidRPr="008A0D85">
        <w:rPr>
          <w:i/>
          <w:iCs/>
        </w:rPr>
        <w:t xml:space="preserve"> </w:t>
      </w:r>
      <w:r w:rsidRPr="008A0D85">
        <w:t>London: Percival Marshall, 1951</w:t>
      </w:r>
      <w:r>
        <w:t>.</w:t>
      </w:r>
    </w:p>
    <w:p w14:paraId="2759CE49" w14:textId="77777777" w:rsidR="003B5820" w:rsidRDefault="003B5820" w:rsidP="003B5820">
      <w:r w:rsidRPr="00780D5F">
        <w:t>Gott,</w:t>
      </w:r>
      <w:r>
        <w:t xml:space="preserve"> </w:t>
      </w:r>
      <w:r w:rsidRPr="00780D5F">
        <w:t>Virginia L.  “The National Socialist Theory of International Law</w:t>
      </w:r>
      <w:r>
        <w:t>.</w:t>
      </w:r>
      <w:r w:rsidRPr="00780D5F">
        <w:t xml:space="preserve">” </w:t>
      </w:r>
      <w:r w:rsidRPr="00780D5F">
        <w:rPr>
          <w:i/>
        </w:rPr>
        <w:t xml:space="preserve">The American Journal of International Law </w:t>
      </w:r>
      <w:r w:rsidRPr="00780D5F">
        <w:t>32, No. 4 (Oct. 1938)</w:t>
      </w:r>
      <w:r>
        <w:t>:</w:t>
      </w:r>
      <w:r w:rsidRPr="00780D5F">
        <w:t xml:space="preserve"> pp. 704-718</w:t>
      </w:r>
      <w:r>
        <w:t>.</w:t>
      </w:r>
    </w:p>
    <w:p w14:paraId="3B4B9B6A" w14:textId="77777777" w:rsidR="003B5820" w:rsidRDefault="003B5820" w:rsidP="003B5820">
      <w:r w:rsidRPr="002013D2">
        <w:t>Jessup, Philip C. “The Defense of Oppressed Peoples</w:t>
      </w:r>
      <w:r>
        <w:t>.</w:t>
      </w:r>
      <w:r w:rsidRPr="002013D2">
        <w:t xml:space="preserve">” </w:t>
      </w:r>
      <w:r w:rsidRPr="002013D2">
        <w:rPr>
          <w:i/>
        </w:rPr>
        <w:t>The American Journal of International Law</w:t>
      </w:r>
      <w:r>
        <w:rPr>
          <w:i/>
        </w:rPr>
        <w:t xml:space="preserve"> </w:t>
      </w:r>
      <w:r w:rsidRPr="002013D2">
        <w:t xml:space="preserve"> 32, No. 1 (Jan. 1938)</w:t>
      </w:r>
      <w:r>
        <w:t>:</w:t>
      </w:r>
      <w:r w:rsidRPr="002013D2">
        <w:t xml:space="preserve"> pp. 116-119</w:t>
      </w:r>
      <w:r>
        <w:t>.</w:t>
      </w:r>
      <w:r w:rsidRPr="002013D2">
        <w:t xml:space="preserve"> </w:t>
      </w:r>
    </w:p>
    <w:p w14:paraId="5E9603A1" w14:textId="77777777" w:rsidR="003B5820" w:rsidRDefault="003B5820" w:rsidP="003B5820">
      <w:r w:rsidRPr="003C0CE5">
        <w:t>Jessup, Philip C. “The Reconsideration of "Neutrality" Legislation in 1939</w:t>
      </w:r>
      <w:r>
        <w:t>.</w:t>
      </w:r>
      <w:r w:rsidRPr="003C0CE5">
        <w:t xml:space="preserve">” </w:t>
      </w:r>
      <w:r w:rsidRPr="003C0CE5">
        <w:rPr>
          <w:i/>
        </w:rPr>
        <w:t xml:space="preserve">The American Journal of International Law </w:t>
      </w:r>
      <w:r w:rsidRPr="003C0CE5">
        <w:t>33, No. 3 (Jul., 1939)</w:t>
      </w:r>
      <w:r>
        <w:t>:</w:t>
      </w:r>
      <w:r w:rsidRPr="003C0CE5">
        <w:t xml:space="preserve"> pp. 549-557.</w:t>
      </w:r>
    </w:p>
    <w:p w14:paraId="3C161453" w14:textId="77777777" w:rsidR="003B5820" w:rsidRDefault="003B5820" w:rsidP="003B5820">
      <w:r w:rsidRPr="00024000">
        <w:t>Jessup, Philip C. "The Reality of International Law</w:t>
      </w:r>
      <w:r>
        <w:t>.</w:t>
      </w:r>
      <w:r w:rsidRPr="00024000">
        <w:t xml:space="preserve">" </w:t>
      </w:r>
      <w:r w:rsidRPr="00024000">
        <w:rPr>
          <w:i/>
          <w:iCs/>
        </w:rPr>
        <w:t>Foreign Affairs</w:t>
      </w:r>
      <w:r w:rsidRPr="00024000">
        <w:t xml:space="preserve"> 18, no. 2 (January 1940): </w:t>
      </w:r>
      <w:r>
        <w:t xml:space="preserve">pp. </w:t>
      </w:r>
      <w:r w:rsidRPr="00024000">
        <w:t>244-253</w:t>
      </w:r>
      <w:r>
        <w:t>.</w:t>
      </w:r>
    </w:p>
    <w:p w14:paraId="36169004" w14:textId="77777777" w:rsidR="003B5820" w:rsidRDefault="003B5820" w:rsidP="003B5820">
      <w:r w:rsidRPr="006D100F">
        <w:t>Jessup, P. C. “International Law and Totalitarian War</w:t>
      </w:r>
      <w:r>
        <w:t>.</w:t>
      </w:r>
      <w:r w:rsidRPr="006D100F">
        <w:t xml:space="preserve">” </w:t>
      </w:r>
      <w:r w:rsidRPr="006D100F">
        <w:rPr>
          <w:i/>
        </w:rPr>
        <w:t xml:space="preserve">The American Journal of International Law </w:t>
      </w:r>
      <w:r w:rsidRPr="006D100F">
        <w:t>35, No. 2 (Ap</w:t>
      </w:r>
      <w:r>
        <w:t>ril</w:t>
      </w:r>
      <w:r w:rsidRPr="006D100F">
        <w:t xml:space="preserve"> 1941)</w:t>
      </w:r>
      <w:r>
        <w:t>:</w:t>
      </w:r>
      <w:r w:rsidRPr="006D100F">
        <w:t xml:space="preserve"> pp. 329-331</w:t>
      </w:r>
      <w:r>
        <w:t>.</w:t>
      </w:r>
    </w:p>
    <w:p w14:paraId="1A9FB775" w14:textId="77777777" w:rsidR="003B5820" w:rsidRDefault="003B5820" w:rsidP="003B5820">
      <w:r w:rsidRPr="007F78D9">
        <w:t>Jessup</w:t>
      </w:r>
      <w:r>
        <w:t xml:space="preserve">, </w:t>
      </w:r>
      <w:r w:rsidRPr="007F78D9">
        <w:t xml:space="preserve">Philip C. Reviewed Work: </w:t>
      </w:r>
      <w:r w:rsidRPr="007F78D9">
        <w:rPr>
          <w:i/>
          <w:iCs/>
        </w:rPr>
        <w:t>An International Bill of the Rights of Man.</w:t>
      </w:r>
      <w:r w:rsidRPr="007F78D9">
        <w:t xml:space="preserve"> by H. Lauterpacht, </w:t>
      </w:r>
      <w:r w:rsidRPr="007F78D9">
        <w:rPr>
          <w:i/>
        </w:rPr>
        <w:t xml:space="preserve">The American Journal of International Law </w:t>
      </w:r>
      <w:r w:rsidRPr="007F78D9">
        <w:t>39, No. 4 (Oct. 1945)</w:t>
      </w:r>
      <w:r>
        <w:t>:</w:t>
      </w:r>
      <w:r w:rsidRPr="007F78D9">
        <w:t xml:space="preserve"> pp. 847-850</w:t>
      </w:r>
      <w:r>
        <w:t>.</w:t>
      </w:r>
    </w:p>
    <w:p w14:paraId="7C4DBA59" w14:textId="77777777" w:rsidR="003B5820" w:rsidRDefault="003B5820" w:rsidP="003B5820">
      <w:r w:rsidRPr="00534202">
        <w:t>Jessup, Philip C. “Force under a Modern Law of Nations</w:t>
      </w:r>
      <w:r>
        <w:t>.</w:t>
      </w:r>
      <w:r w:rsidRPr="00534202">
        <w:t xml:space="preserve">” </w:t>
      </w:r>
      <w:r w:rsidRPr="00534202">
        <w:rPr>
          <w:i/>
        </w:rPr>
        <w:t xml:space="preserve">Foreign Affairs </w:t>
      </w:r>
      <w:r w:rsidRPr="00534202">
        <w:t>25, No. 1 (Oct., 1946)</w:t>
      </w:r>
      <w:r>
        <w:t>:</w:t>
      </w:r>
      <w:r w:rsidRPr="00534202">
        <w:t xml:space="preserve"> pp. 90-105</w:t>
      </w:r>
      <w:r>
        <w:t>.</w:t>
      </w:r>
    </w:p>
    <w:p w14:paraId="4CF2E709" w14:textId="77777777" w:rsidR="003B5820" w:rsidRDefault="003B5820" w:rsidP="003B5820">
      <w:r w:rsidRPr="00541783">
        <w:t>Jessup, Philip C. "Intermediacy</w:t>
      </w:r>
      <w:r>
        <w:t>.</w:t>
      </w:r>
      <w:r w:rsidRPr="00541783">
        <w:t>" Nordisk Tidsskrift for International Ret 23 (1953): 16-26</w:t>
      </w:r>
      <w:r>
        <w:t>.</w:t>
      </w:r>
      <w:r w:rsidRPr="00541783">
        <w:t xml:space="preserve"> </w:t>
      </w:r>
    </w:p>
    <w:p w14:paraId="1D96241B" w14:textId="77777777" w:rsidR="003B5820" w:rsidRDefault="003B5820" w:rsidP="003B5820">
      <w:r w:rsidRPr="00D2284B">
        <w:t xml:space="preserve">Kaplan, Robert D. </w:t>
      </w:r>
      <w:r w:rsidRPr="00D2284B">
        <w:rPr>
          <w:i/>
          <w:iCs/>
        </w:rPr>
        <w:t>The Arabists: The Romance of an American Elite</w:t>
      </w:r>
      <w:r>
        <w:rPr>
          <w:i/>
          <w:iCs/>
        </w:rPr>
        <w:t>.</w:t>
      </w:r>
      <w:r w:rsidRPr="00D2284B">
        <w:rPr>
          <w:i/>
          <w:iCs/>
        </w:rPr>
        <w:t xml:space="preserve"> </w:t>
      </w:r>
      <w:r w:rsidRPr="00D2284B">
        <w:t>New York: The Free Press, 1993</w:t>
      </w:r>
      <w:r>
        <w:t>.</w:t>
      </w:r>
    </w:p>
    <w:p w14:paraId="23F3DF80" w14:textId="77777777" w:rsidR="003B5820" w:rsidRDefault="003B5820" w:rsidP="003B5820">
      <w:r w:rsidRPr="00BB6EDC">
        <w:t>Kelsen</w:t>
      </w:r>
      <w:r>
        <w:t xml:space="preserve">, </w:t>
      </w:r>
      <w:r w:rsidRPr="00BB6EDC">
        <w:t>Hans</w:t>
      </w:r>
      <w:r>
        <w:t>.</w:t>
      </w:r>
      <w:r w:rsidRPr="00BB6EDC">
        <w:t xml:space="preserve"> “Collective and Individual Responsibility in International Law with Particular Regard to the Punishment of War Criminals</w:t>
      </w:r>
      <w:r>
        <w:t>.</w:t>
      </w:r>
      <w:r w:rsidRPr="00BB6EDC">
        <w:t xml:space="preserve">” </w:t>
      </w:r>
      <w:r w:rsidRPr="00BB6EDC">
        <w:rPr>
          <w:i/>
        </w:rPr>
        <w:t xml:space="preserve">California Law Review </w:t>
      </w:r>
      <w:r w:rsidRPr="00BB6EDC">
        <w:t>31, No. 5 (Dec. 1943)</w:t>
      </w:r>
      <w:r>
        <w:t>:</w:t>
      </w:r>
      <w:r w:rsidRPr="00BB6EDC">
        <w:t xml:space="preserve"> pp. 530-571</w:t>
      </w:r>
      <w:r>
        <w:t>.</w:t>
      </w:r>
    </w:p>
    <w:p w14:paraId="5DD1F41C" w14:textId="77777777" w:rsidR="003B5820" w:rsidRDefault="003B5820" w:rsidP="003B5820">
      <w:r w:rsidRPr="003923BA">
        <w:t>Kelsen, Hans</w:t>
      </w:r>
      <w:r>
        <w:t>.</w:t>
      </w:r>
      <w:r w:rsidRPr="003923BA">
        <w:t xml:space="preserve"> </w:t>
      </w:r>
      <w:r w:rsidRPr="003923BA">
        <w:rPr>
          <w:i/>
          <w:iCs/>
        </w:rPr>
        <w:t>The Law of the United Nations: A Critical Analysis of its Fundamental Problems, with Supplement</w:t>
      </w:r>
      <w:r>
        <w:t>.</w:t>
      </w:r>
      <w:r w:rsidRPr="003923BA">
        <w:t xml:space="preserve"> London: Stevens and Sons Ltd, 1951</w:t>
      </w:r>
      <w:r>
        <w:t>.</w:t>
      </w:r>
    </w:p>
    <w:p w14:paraId="5A8EC25E" w14:textId="77777777" w:rsidR="003B5820" w:rsidRDefault="003B5820" w:rsidP="003B5820">
      <w:r w:rsidRPr="006137CB">
        <w:t>Koskenniemi, Martti</w:t>
      </w:r>
      <w:r>
        <w:t>.</w:t>
      </w:r>
      <w:r w:rsidRPr="006137CB">
        <w:t xml:space="preserve"> “H. Lauterpacht, 1897-1960</w:t>
      </w:r>
      <w:r>
        <w:t>.</w:t>
      </w:r>
      <w:r w:rsidRPr="006137CB">
        <w:t xml:space="preserve">” In Beatson, Jack and Zimmermann, Reinhard, </w:t>
      </w:r>
      <w:r w:rsidRPr="006137CB">
        <w:rPr>
          <w:i/>
          <w:iCs/>
        </w:rPr>
        <w:t xml:space="preserve">Jurists Uprooted: German-Speaking Émigré-Lawyers in Twentieth-century Britain, </w:t>
      </w:r>
      <w:r w:rsidRPr="006137CB">
        <w:t>Oxford: Oxford University Press, 2004</w:t>
      </w:r>
      <w:r>
        <w:t>.</w:t>
      </w:r>
    </w:p>
    <w:p w14:paraId="31C37514" w14:textId="77777777" w:rsidR="003B5820" w:rsidRDefault="003B5820" w:rsidP="003B5820">
      <w:pPr>
        <w:rPr>
          <w:bCs/>
          <w:iCs/>
        </w:rPr>
      </w:pPr>
      <w:r w:rsidRPr="00DD2582">
        <w:t>Lorge,</w:t>
      </w:r>
      <w:r>
        <w:t xml:space="preserve"> </w:t>
      </w:r>
      <w:r w:rsidRPr="00DD2582">
        <w:t>Irving “</w:t>
      </w:r>
      <w:r w:rsidRPr="00DD2582">
        <w:rPr>
          <w:bCs/>
          <w:iCs/>
        </w:rPr>
        <w:t>Prestige, Suggestion, and Attitudes</w:t>
      </w:r>
      <w:r w:rsidRPr="00DD2582">
        <w:rPr>
          <w:bCs/>
          <w:i/>
        </w:rPr>
        <w:t xml:space="preserve">,” Journal of Social Psychology </w:t>
      </w:r>
      <w:r w:rsidRPr="00DD2582">
        <w:rPr>
          <w:bCs/>
          <w:iCs/>
        </w:rPr>
        <w:t>7 No. 4, Nov 1, 1936</w:t>
      </w:r>
      <w:r>
        <w:rPr>
          <w:bCs/>
          <w:iCs/>
        </w:rPr>
        <w:t>: pp. 386-402.</w:t>
      </w:r>
    </w:p>
    <w:p w14:paraId="326F4D71" w14:textId="77777777" w:rsidR="003B5820" w:rsidRDefault="003B5820" w:rsidP="003B5820">
      <w:pPr>
        <w:rPr>
          <w:bCs/>
          <w:iCs/>
        </w:rPr>
      </w:pPr>
      <w:r w:rsidRPr="004C3E22">
        <w:rPr>
          <w:bCs/>
          <w:iCs/>
        </w:rPr>
        <w:t>Morgenthau, Hans J. “Positivism, Functionalism, and International Law</w:t>
      </w:r>
      <w:r>
        <w:rPr>
          <w:bCs/>
          <w:iCs/>
        </w:rPr>
        <w:t>.</w:t>
      </w:r>
      <w:r w:rsidRPr="004C3E22">
        <w:rPr>
          <w:bCs/>
          <w:iCs/>
        </w:rPr>
        <w:t xml:space="preserve">” </w:t>
      </w:r>
      <w:r w:rsidRPr="004C3E22">
        <w:rPr>
          <w:bCs/>
          <w:i/>
          <w:iCs/>
        </w:rPr>
        <w:t xml:space="preserve">The American Journal of International Law </w:t>
      </w:r>
      <w:r w:rsidRPr="004C3E22">
        <w:rPr>
          <w:bCs/>
          <w:iCs/>
        </w:rPr>
        <w:t>34, No. 2 (April 1940): pp. 260-284.</w:t>
      </w:r>
    </w:p>
    <w:p w14:paraId="72FAC555" w14:textId="77777777" w:rsidR="003B5820" w:rsidRDefault="003B5820" w:rsidP="003B5820">
      <w:pPr>
        <w:rPr>
          <w:bCs/>
          <w:iCs/>
        </w:rPr>
      </w:pPr>
      <w:r w:rsidRPr="00DE6319">
        <w:rPr>
          <w:bCs/>
          <w:iCs/>
        </w:rPr>
        <w:t>Nirenberg, David</w:t>
      </w:r>
      <w:r>
        <w:rPr>
          <w:bCs/>
          <w:iCs/>
        </w:rPr>
        <w:t>.</w:t>
      </w:r>
      <w:r w:rsidRPr="00DE6319">
        <w:rPr>
          <w:bCs/>
          <w:iCs/>
        </w:rPr>
        <w:t xml:space="preserve"> </w:t>
      </w:r>
      <w:r w:rsidRPr="00DE6319">
        <w:rPr>
          <w:bCs/>
          <w:i/>
          <w:iCs/>
        </w:rPr>
        <w:t>Anti-Judaism: The Western Traditio</w:t>
      </w:r>
      <w:r>
        <w:rPr>
          <w:bCs/>
          <w:i/>
          <w:iCs/>
        </w:rPr>
        <w:t>n.</w:t>
      </w:r>
      <w:r w:rsidRPr="00DE6319">
        <w:rPr>
          <w:bCs/>
          <w:i/>
          <w:iCs/>
        </w:rPr>
        <w:t xml:space="preserve"> </w:t>
      </w:r>
      <w:r w:rsidRPr="00DE6319">
        <w:rPr>
          <w:bCs/>
          <w:iCs/>
        </w:rPr>
        <w:t>New York, New York: W. W. Norton &amp; Co, 2013</w:t>
      </w:r>
      <w:r>
        <w:rPr>
          <w:bCs/>
          <w:iCs/>
        </w:rPr>
        <w:t>.</w:t>
      </w:r>
    </w:p>
    <w:p w14:paraId="1971538E" w14:textId="77777777" w:rsidR="003B5820" w:rsidRDefault="003B5820" w:rsidP="003B5820">
      <w:pPr>
        <w:rPr>
          <w:bCs/>
          <w:iCs/>
        </w:rPr>
      </w:pPr>
      <w:r w:rsidRPr="002A712E">
        <w:rPr>
          <w:bCs/>
          <w:iCs/>
        </w:rPr>
        <w:t>Oppenheim,</w:t>
      </w:r>
      <w:r>
        <w:rPr>
          <w:bCs/>
          <w:iCs/>
        </w:rPr>
        <w:t xml:space="preserve"> L. </w:t>
      </w:r>
      <w:r w:rsidRPr="002A712E">
        <w:rPr>
          <w:bCs/>
          <w:iCs/>
        </w:rPr>
        <w:t xml:space="preserve"> </w:t>
      </w:r>
      <w:r w:rsidRPr="002A712E">
        <w:rPr>
          <w:bCs/>
          <w:i/>
          <w:iCs/>
        </w:rPr>
        <w:t>International Law: A Treatise</w:t>
      </w:r>
      <w:r>
        <w:rPr>
          <w:bCs/>
          <w:i/>
          <w:iCs/>
        </w:rPr>
        <w:t xml:space="preserve">. </w:t>
      </w:r>
      <w:r w:rsidRPr="002A712E">
        <w:rPr>
          <w:bCs/>
          <w:iCs/>
        </w:rPr>
        <w:t>Seventh edition, edited by H Lauterpacht</w:t>
      </w:r>
      <w:r>
        <w:rPr>
          <w:bCs/>
          <w:iCs/>
        </w:rPr>
        <w:t>.</w:t>
      </w:r>
      <w:r w:rsidRPr="002A712E">
        <w:rPr>
          <w:bCs/>
          <w:iCs/>
        </w:rPr>
        <w:t xml:space="preserve"> London: Longmans, Green and Co, 1948.</w:t>
      </w:r>
    </w:p>
    <w:p w14:paraId="2B9F23DD" w14:textId="77777777" w:rsidR="003B5820" w:rsidRDefault="003B5820" w:rsidP="003B5820">
      <w:pPr>
        <w:rPr>
          <w:bCs/>
          <w:iCs/>
        </w:rPr>
      </w:pPr>
      <w:r w:rsidRPr="00C97BFF">
        <w:rPr>
          <w:bCs/>
          <w:iCs/>
        </w:rPr>
        <w:t xml:space="preserve">Reich, Wilhelm, </w:t>
      </w:r>
      <w:r w:rsidRPr="00C97BFF">
        <w:rPr>
          <w:bCs/>
          <w:i/>
          <w:iCs/>
        </w:rPr>
        <w:t xml:space="preserve">The Mass Psychology of Fascism, </w:t>
      </w:r>
      <w:r w:rsidRPr="00C97BFF">
        <w:rPr>
          <w:bCs/>
          <w:iCs/>
        </w:rPr>
        <w:t>translated from the German by Vincent R. Carfagno, New Yor</w:t>
      </w:r>
      <w:r>
        <w:rPr>
          <w:bCs/>
          <w:iCs/>
        </w:rPr>
        <w:t>k</w:t>
      </w:r>
      <w:r w:rsidRPr="00C97BFF">
        <w:rPr>
          <w:bCs/>
          <w:iCs/>
        </w:rPr>
        <w:t>: Farrar, Straus &amp; Giroux, 1970</w:t>
      </w:r>
      <w:r>
        <w:rPr>
          <w:bCs/>
          <w:iCs/>
        </w:rPr>
        <w:t xml:space="preserve">.  </w:t>
      </w:r>
      <w:r w:rsidRPr="00C97BFF">
        <w:rPr>
          <w:bCs/>
          <w:iCs/>
        </w:rPr>
        <w:t>First published in German 1933, first Eng</w:t>
      </w:r>
      <w:r>
        <w:rPr>
          <w:bCs/>
          <w:iCs/>
        </w:rPr>
        <w:t>lish</w:t>
      </w:r>
      <w:r w:rsidRPr="00C97BFF">
        <w:rPr>
          <w:bCs/>
          <w:iCs/>
        </w:rPr>
        <w:t xml:space="preserve"> translation, 1946</w:t>
      </w:r>
      <w:r>
        <w:rPr>
          <w:bCs/>
          <w:iCs/>
        </w:rPr>
        <w:t>.</w:t>
      </w:r>
    </w:p>
    <w:p w14:paraId="132F8E62" w14:textId="77777777" w:rsidR="003B5820" w:rsidRDefault="003B5820" w:rsidP="003B5820">
      <w:pPr>
        <w:rPr>
          <w:bCs/>
          <w:iCs/>
        </w:rPr>
      </w:pPr>
      <w:r w:rsidRPr="00B50CF5">
        <w:rPr>
          <w:bCs/>
          <w:iCs/>
        </w:rPr>
        <w:t xml:space="preserve">Reviewed work: </w:t>
      </w:r>
      <w:r w:rsidRPr="00B50CF5">
        <w:rPr>
          <w:bCs/>
          <w:i/>
          <w:iCs/>
        </w:rPr>
        <w:t>Etiology and Course of Mass Psychoses</w:t>
      </w:r>
      <w:r w:rsidRPr="00B50CF5">
        <w:rPr>
          <w:bCs/>
          <w:iCs/>
        </w:rPr>
        <w:t xml:space="preserve"> by Robert Waelder</w:t>
      </w:r>
      <w:r>
        <w:rPr>
          <w:bCs/>
          <w:iCs/>
        </w:rPr>
        <w:t>.</w:t>
      </w:r>
      <w:r w:rsidRPr="00B50CF5">
        <w:rPr>
          <w:bCs/>
          <w:iCs/>
        </w:rPr>
        <w:t xml:space="preserve"> </w:t>
      </w:r>
      <w:r w:rsidRPr="00B50CF5">
        <w:rPr>
          <w:bCs/>
          <w:i/>
          <w:iCs/>
        </w:rPr>
        <w:t xml:space="preserve">The Psychoanalytic Review </w:t>
      </w:r>
      <w:r w:rsidRPr="00B50CF5">
        <w:rPr>
          <w:bCs/>
          <w:iCs/>
        </w:rPr>
        <w:t>26, (Jan. 1939) p 400</w:t>
      </w:r>
      <w:r>
        <w:rPr>
          <w:bCs/>
          <w:iCs/>
        </w:rPr>
        <w:t>-01.</w:t>
      </w:r>
    </w:p>
    <w:p w14:paraId="227608D0" w14:textId="77777777" w:rsidR="003B5820" w:rsidRDefault="003B5820" w:rsidP="003B5820">
      <w:pPr>
        <w:rPr>
          <w:bCs/>
          <w:iCs/>
        </w:rPr>
      </w:pPr>
      <w:r w:rsidRPr="00A07DC4">
        <w:rPr>
          <w:bCs/>
          <w:iCs/>
        </w:rPr>
        <w:t>Roy, Haimanti</w:t>
      </w:r>
      <w:r>
        <w:rPr>
          <w:bCs/>
          <w:iCs/>
        </w:rPr>
        <w:t>.</w:t>
      </w:r>
      <w:r w:rsidRPr="00A07DC4">
        <w:rPr>
          <w:bCs/>
          <w:iCs/>
        </w:rPr>
        <w:t xml:space="preserve"> </w:t>
      </w:r>
      <w:r w:rsidRPr="00A07DC4">
        <w:rPr>
          <w:bCs/>
          <w:i/>
          <w:iCs/>
        </w:rPr>
        <w:t>Partitioned Lives: Migrants, Refugees, Citizens in Indian and Pakistan, 1947-1965</w:t>
      </w:r>
      <w:r>
        <w:rPr>
          <w:bCs/>
          <w:i/>
          <w:iCs/>
        </w:rPr>
        <w:t>.</w:t>
      </w:r>
      <w:r w:rsidRPr="00A07DC4">
        <w:rPr>
          <w:bCs/>
          <w:i/>
          <w:iCs/>
        </w:rPr>
        <w:t xml:space="preserve"> </w:t>
      </w:r>
      <w:r w:rsidRPr="00A07DC4">
        <w:rPr>
          <w:bCs/>
          <w:iCs/>
        </w:rPr>
        <w:t>New Delhi: Oxford University Press, 2012</w:t>
      </w:r>
      <w:r>
        <w:rPr>
          <w:bCs/>
          <w:iCs/>
        </w:rPr>
        <w:t>.</w:t>
      </w:r>
    </w:p>
    <w:p w14:paraId="253CEAC8" w14:textId="77777777" w:rsidR="003B5820" w:rsidRDefault="003B5820" w:rsidP="003B5820">
      <w:pPr>
        <w:rPr>
          <w:bCs/>
          <w:iCs/>
        </w:rPr>
      </w:pPr>
      <w:r w:rsidRPr="00193D69">
        <w:rPr>
          <w:bCs/>
          <w:iCs/>
        </w:rPr>
        <w:t>Schwarzenberger, Georg</w:t>
      </w:r>
      <w:r>
        <w:rPr>
          <w:bCs/>
          <w:iCs/>
        </w:rPr>
        <w:t>.</w:t>
      </w:r>
      <w:r w:rsidRPr="00193D69">
        <w:rPr>
          <w:bCs/>
          <w:iCs/>
        </w:rPr>
        <w:t xml:space="preserve"> </w:t>
      </w:r>
      <w:r w:rsidRPr="00193D69">
        <w:rPr>
          <w:bCs/>
          <w:i/>
          <w:iCs/>
        </w:rPr>
        <w:t>The League of Nations and World Order</w:t>
      </w:r>
      <w:r>
        <w:rPr>
          <w:bCs/>
          <w:i/>
          <w:iCs/>
        </w:rPr>
        <w:t>:</w:t>
      </w:r>
      <w:r w:rsidRPr="00193D69">
        <w:rPr>
          <w:bCs/>
          <w:i/>
          <w:iCs/>
        </w:rPr>
        <w:t xml:space="preserve"> A Treat</w:t>
      </w:r>
      <w:r>
        <w:rPr>
          <w:bCs/>
          <w:i/>
          <w:iCs/>
        </w:rPr>
        <w:t>ise</w:t>
      </w:r>
      <w:r w:rsidRPr="00193D69">
        <w:rPr>
          <w:bCs/>
          <w:i/>
          <w:iCs/>
        </w:rPr>
        <w:t xml:space="preserve"> on the Principle of Universality in the Theory and Practice of the League of Nations, </w:t>
      </w:r>
      <w:r w:rsidRPr="00193D69">
        <w:rPr>
          <w:bCs/>
          <w:iCs/>
        </w:rPr>
        <w:t>Preface by H. A. Smith</w:t>
      </w:r>
      <w:r>
        <w:rPr>
          <w:bCs/>
          <w:iCs/>
        </w:rPr>
        <w:t>.</w:t>
      </w:r>
      <w:r w:rsidRPr="00193D69">
        <w:rPr>
          <w:bCs/>
          <w:iCs/>
        </w:rPr>
        <w:t xml:space="preserve"> London: Constable &amp; Co. Ltd., 1936</w:t>
      </w:r>
      <w:r>
        <w:rPr>
          <w:bCs/>
          <w:iCs/>
        </w:rPr>
        <w:t>.</w:t>
      </w:r>
    </w:p>
    <w:p w14:paraId="2D07BE9E" w14:textId="77777777" w:rsidR="003B5820" w:rsidRDefault="003B5820" w:rsidP="003B5820">
      <w:pPr>
        <w:rPr>
          <w:bCs/>
          <w:iCs/>
        </w:rPr>
      </w:pPr>
      <w:r w:rsidRPr="006B70B6">
        <w:rPr>
          <w:bCs/>
          <w:iCs/>
        </w:rPr>
        <w:t>Schwarzenberger, Georg</w:t>
      </w:r>
      <w:r>
        <w:rPr>
          <w:bCs/>
          <w:iCs/>
        </w:rPr>
        <w:t>.</w:t>
      </w:r>
      <w:r w:rsidRPr="006B70B6">
        <w:rPr>
          <w:bCs/>
          <w:iCs/>
        </w:rPr>
        <w:t xml:space="preserve"> “The Rule of Law and the Disintegration of the International Society</w:t>
      </w:r>
      <w:r>
        <w:rPr>
          <w:bCs/>
          <w:iCs/>
        </w:rPr>
        <w:t>.</w:t>
      </w:r>
      <w:r w:rsidRPr="006B70B6">
        <w:rPr>
          <w:bCs/>
          <w:iCs/>
        </w:rPr>
        <w:t xml:space="preserve">” </w:t>
      </w:r>
      <w:r w:rsidRPr="006B70B6">
        <w:rPr>
          <w:bCs/>
          <w:i/>
          <w:iCs/>
        </w:rPr>
        <w:t xml:space="preserve">The American Journal of International Law </w:t>
      </w:r>
      <w:r w:rsidRPr="006B70B6">
        <w:rPr>
          <w:bCs/>
          <w:iCs/>
        </w:rPr>
        <w:t>33, No. 1 (Jan. 1939)</w:t>
      </w:r>
      <w:r>
        <w:rPr>
          <w:bCs/>
          <w:iCs/>
        </w:rPr>
        <w:t>:</w:t>
      </w:r>
      <w:r w:rsidRPr="006B70B6">
        <w:rPr>
          <w:bCs/>
          <w:iCs/>
        </w:rPr>
        <w:t xml:space="preserve"> pp. 56-77</w:t>
      </w:r>
      <w:r>
        <w:rPr>
          <w:bCs/>
          <w:iCs/>
        </w:rPr>
        <w:t>.</w:t>
      </w:r>
    </w:p>
    <w:p w14:paraId="1D288393" w14:textId="77777777" w:rsidR="003B5820" w:rsidRDefault="003B5820" w:rsidP="003B5820">
      <w:pPr>
        <w:rPr>
          <w:bCs/>
          <w:iCs/>
        </w:rPr>
      </w:pPr>
      <w:r w:rsidRPr="00E05AFE">
        <w:rPr>
          <w:bCs/>
          <w:iCs/>
        </w:rPr>
        <w:t>Steinle, Stephanie</w:t>
      </w:r>
      <w:r>
        <w:rPr>
          <w:bCs/>
          <w:iCs/>
        </w:rPr>
        <w:t>.</w:t>
      </w:r>
      <w:r w:rsidRPr="00E05AFE">
        <w:rPr>
          <w:bCs/>
          <w:iCs/>
        </w:rPr>
        <w:t xml:space="preserve"> “Georg Schwarzenberger, 1908-1991</w:t>
      </w:r>
      <w:r>
        <w:rPr>
          <w:bCs/>
          <w:iCs/>
        </w:rPr>
        <w:t>.</w:t>
      </w:r>
      <w:r w:rsidRPr="00E05AFE">
        <w:rPr>
          <w:bCs/>
          <w:iCs/>
        </w:rPr>
        <w:t xml:space="preserve">” in Beatson, Jack and Zimmermann, Reinhard, </w:t>
      </w:r>
      <w:r w:rsidRPr="00E05AFE">
        <w:rPr>
          <w:bCs/>
          <w:i/>
          <w:iCs/>
        </w:rPr>
        <w:t xml:space="preserve">Jurists Uprooted: German-Speaking Émigré-Lawyers in Twentieth-century Britain, </w:t>
      </w:r>
      <w:r w:rsidRPr="00E05AFE">
        <w:rPr>
          <w:bCs/>
          <w:iCs/>
        </w:rPr>
        <w:t>Oxford: Oxford University Press, 2004</w:t>
      </w:r>
      <w:r>
        <w:rPr>
          <w:bCs/>
          <w:iCs/>
        </w:rPr>
        <w:t>.</w:t>
      </w:r>
    </w:p>
    <w:p w14:paraId="364C5F84" w14:textId="77777777" w:rsidR="003B5820" w:rsidRDefault="003B5820" w:rsidP="003B5820">
      <w:r w:rsidRPr="0007622C">
        <w:rPr>
          <w:i/>
          <w:iCs/>
        </w:rPr>
        <w:t>The Confessions of a Con Man</w:t>
      </w:r>
      <w:r>
        <w:rPr>
          <w:i/>
          <w:iCs/>
        </w:rPr>
        <w:t>.</w:t>
      </w:r>
      <w:r w:rsidRPr="0007622C">
        <w:t xml:space="preserve"> </w:t>
      </w:r>
      <w:r>
        <w:t>A</w:t>
      </w:r>
      <w:r w:rsidRPr="0007622C">
        <w:t>s told to Will Irwin</w:t>
      </w:r>
      <w:r>
        <w:t>.</w:t>
      </w:r>
      <w:r w:rsidRPr="0007622C">
        <w:t xml:space="preserve"> New York: B. W. Huebsch, 1909</w:t>
      </w:r>
      <w:r>
        <w:t>.</w:t>
      </w:r>
    </w:p>
    <w:p w14:paraId="2AF91EE0" w14:textId="77777777" w:rsidR="003B5820" w:rsidRDefault="003B5820" w:rsidP="003B5820">
      <w:r w:rsidRPr="00B50CF5">
        <w:t>Waelder, Robert</w:t>
      </w:r>
      <w:r>
        <w:t>.</w:t>
      </w:r>
      <w:r w:rsidRPr="00B50CF5">
        <w:t xml:space="preserve"> “Psychological Aspects of War and Peace: and Outline of Some of the Problems with Suggestions Regarding Further Research,” </w:t>
      </w:r>
      <w:r w:rsidRPr="00B50CF5">
        <w:rPr>
          <w:i/>
        </w:rPr>
        <w:t xml:space="preserve">Geneva Studies X, </w:t>
      </w:r>
      <w:r w:rsidRPr="00B50CF5">
        <w:t>no 2, May, 1939</w:t>
      </w:r>
      <w:r>
        <w:t>.</w:t>
      </w:r>
    </w:p>
    <w:p w14:paraId="32223BA3" w14:textId="77777777" w:rsidR="003B5820" w:rsidRDefault="003B5820" w:rsidP="003B5820">
      <w:r w:rsidRPr="000757EC">
        <w:t xml:space="preserve">Wild, Payson S. “What is the Trouble with International Law?” </w:t>
      </w:r>
      <w:r w:rsidRPr="000757EC">
        <w:rPr>
          <w:i/>
        </w:rPr>
        <w:t>The American Political Science Review</w:t>
      </w:r>
      <w:r w:rsidRPr="000757EC">
        <w:t xml:space="preserve"> 32, No. 3 (Jun</w:t>
      </w:r>
      <w:r>
        <w:t>e</w:t>
      </w:r>
      <w:r w:rsidRPr="000757EC">
        <w:t xml:space="preserve"> 1938)</w:t>
      </w:r>
      <w:r>
        <w:t>:</w:t>
      </w:r>
      <w:r w:rsidRPr="000757EC">
        <w:t xml:space="preserve"> pp. 478-494</w:t>
      </w:r>
      <w:r>
        <w:t>.</w:t>
      </w:r>
    </w:p>
    <w:p w14:paraId="6656A1E5" w14:textId="77777777" w:rsidR="003B5820" w:rsidRDefault="003B5820" w:rsidP="003B5820">
      <w:r w:rsidRPr="00DD4246">
        <w:t>Wright, Quincy</w:t>
      </w:r>
      <w:r>
        <w:t>.</w:t>
      </w:r>
      <w:r w:rsidRPr="00DD4246">
        <w:t xml:space="preserve"> “The Munich Settlement and International Law</w:t>
      </w:r>
      <w:r>
        <w:t>.</w:t>
      </w:r>
      <w:r w:rsidRPr="00DD4246">
        <w:t xml:space="preserve">” </w:t>
      </w:r>
      <w:r w:rsidRPr="00DD4246">
        <w:rPr>
          <w:i/>
        </w:rPr>
        <w:t xml:space="preserve">The American Journal of International Law </w:t>
      </w:r>
      <w:r w:rsidRPr="00DD4246">
        <w:t>33, No. 1 (Jan</w:t>
      </w:r>
      <w:r>
        <w:t>.</w:t>
      </w:r>
      <w:r w:rsidRPr="00DD4246">
        <w:t xml:space="preserve"> 1939)</w:t>
      </w:r>
      <w:r>
        <w:t>:</w:t>
      </w:r>
      <w:r w:rsidRPr="00DD4246">
        <w:t xml:space="preserve"> pp. 12-32</w:t>
      </w:r>
      <w:r>
        <w:t>.</w:t>
      </w:r>
    </w:p>
    <w:p w14:paraId="248DCB8C" w14:textId="77777777" w:rsidR="003B5820" w:rsidRDefault="003B5820" w:rsidP="003B5820">
      <w:r w:rsidRPr="003D0D94">
        <w:t>Wright, Quincy</w:t>
      </w:r>
      <w:r>
        <w:t>.</w:t>
      </w:r>
      <w:r w:rsidRPr="003D0D94">
        <w:t xml:space="preserve"> “War Criminals</w:t>
      </w:r>
      <w:r>
        <w:t>.</w:t>
      </w:r>
      <w:r w:rsidRPr="003D0D94">
        <w:t xml:space="preserve">” </w:t>
      </w:r>
      <w:r w:rsidRPr="003D0D94">
        <w:rPr>
          <w:i/>
        </w:rPr>
        <w:t xml:space="preserve">The American Journal of International Law </w:t>
      </w:r>
      <w:r w:rsidRPr="003D0D94">
        <w:t>39, No. 2 (Apr. 1945)</w:t>
      </w:r>
      <w:r>
        <w:t>:</w:t>
      </w:r>
      <w:r w:rsidRPr="003D0D94">
        <w:t xml:space="preserve"> pp. 257-285</w:t>
      </w:r>
      <w:r>
        <w:t>.</w:t>
      </w:r>
    </w:p>
    <w:p w14:paraId="6EC68F46" w14:textId="77777777" w:rsidR="003B5820" w:rsidRPr="00A07DC4" w:rsidRDefault="003B5820" w:rsidP="003B5820">
      <w:pPr>
        <w:rPr>
          <w:i/>
          <w:iCs/>
        </w:rPr>
      </w:pPr>
      <w:r w:rsidRPr="00A07DC4">
        <w:t>Zamindar, Vazira Fazila-Yacoobali</w:t>
      </w:r>
      <w:r>
        <w:t>.</w:t>
      </w:r>
      <w:r w:rsidRPr="00A07DC4">
        <w:t xml:space="preserve"> </w:t>
      </w:r>
      <w:r w:rsidRPr="00A07DC4">
        <w:rPr>
          <w:i/>
          <w:iCs/>
        </w:rPr>
        <w:t>The Long Partition and the Making of Modern South Asia: Refugees, Boundaries, Historie</w:t>
      </w:r>
      <w:r>
        <w:rPr>
          <w:i/>
          <w:iCs/>
        </w:rPr>
        <w:t>s.</w:t>
      </w:r>
      <w:r w:rsidRPr="00A07DC4">
        <w:rPr>
          <w:i/>
          <w:iCs/>
        </w:rPr>
        <w:t xml:space="preserve"> </w:t>
      </w:r>
      <w:r w:rsidRPr="00A07DC4">
        <w:t>New York: Columbia University Press, 2007</w:t>
      </w:r>
      <w:r>
        <w:t>.</w:t>
      </w:r>
    </w:p>
    <w:p w14:paraId="52737354" w14:textId="77777777" w:rsidR="003B5820" w:rsidRPr="003D0D94" w:rsidRDefault="003B5820" w:rsidP="003B5820"/>
    <w:p w14:paraId="321C43F2" w14:textId="77777777" w:rsidR="003B5820" w:rsidRPr="00BB6EDC" w:rsidRDefault="003B5820" w:rsidP="003B5820"/>
    <w:p w14:paraId="01675A02" w14:textId="77777777" w:rsidR="003B5820" w:rsidRDefault="003B5820" w:rsidP="003B5820"/>
    <w:p w14:paraId="74F4AFF4" w14:textId="77777777" w:rsidR="003B5820" w:rsidRDefault="003B5820" w:rsidP="003B5820"/>
    <w:p w14:paraId="6A0F0A71" w14:textId="77777777" w:rsidR="003B5820" w:rsidRPr="003D0D94" w:rsidRDefault="003B5820" w:rsidP="003B5820"/>
    <w:p w14:paraId="5E107E85" w14:textId="77777777" w:rsidR="003B5820" w:rsidRPr="00BB6EDC" w:rsidRDefault="003B5820" w:rsidP="003B5820"/>
    <w:p w14:paraId="39D29C9E" w14:textId="77777777" w:rsidR="003B5820" w:rsidRDefault="003B5820" w:rsidP="003B5820"/>
    <w:p w14:paraId="5FCF2D3E" w14:textId="77777777" w:rsidR="003B5820" w:rsidRDefault="003B5820" w:rsidP="003B5820"/>
    <w:p w14:paraId="2A07872E" w14:textId="77777777" w:rsidR="003B5820" w:rsidRPr="002441BB" w:rsidRDefault="003B5820" w:rsidP="003B5820">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58618258"/>
      <w:docPartObj>
        <w:docPartGallery w:val="Page Numbers (Bottom of Page)"/>
        <w:docPartUnique/>
      </w:docPartObj>
    </w:sdtPr>
    <w:sdtContent>
      <w:p w14:paraId="7DD9B983" w14:textId="77777777" w:rsidR="00000000" w:rsidRDefault="00000000" w:rsidP="009A15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AED392" w14:textId="77777777" w:rsidR="00000000" w:rsidRDefault="00000000" w:rsidP="00A31A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75115854"/>
      <w:docPartObj>
        <w:docPartGallery w:val="Page Numbers (Bottom of Page)"/>
        <w:docPartUnique/>
      </w:docPartObj>
    </w:sdtPr>
    <w:sdtContent>
      <w:p w14:paraId="6A5047F6" w14:textId="77777777" w:rsidR="00000000" w:rsidRDefault="00000000" w:rsidP="009A15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E58CD9" w14:textId="77777777" w:rsidR="00000000" w:rsidRDefault="00000000" w:rsidP="00A31AD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D07B38" w14:textId="77777777" w:rsidR="00C83561" w:rsidRDefault="00C83561" w:rsidP="003B5820">
      <w:pPr>
        <w:spacing w:before="0" w:after="0"/>
      </w:pPr>
      <w:r>
        <w:separator/>
      </w:r>
    </w:p>
  </w:footnote>
  <w:footnote w:type="continuationSeparator" w:id="0">
    <w:p w14:paraId="089C8E02" w14:textId="77777777" w:rsidR="00C83561" w:rsidRDefault="00C83561" w:rsidP="003B5820">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820"/>
    <w:rsid w:val="003B5820"/>
    <w:rsid w:val="006A4527"/>
    <w:rsid w:val="00BA49C8"/>
    <w:rsid w:val="00BD182A"/>
    <w:rsid w:val="00C835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77A266"/>
  <w15:chartTrackingRefBased/>
  <w15:docId w15:val="{21D1855E-434D-6A4C-9AAE-0EE9A0913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820"/>
    <w:pPr>
      <w:spacing w:before="100" w:beforeAutospacing="1" w:after="100" w:afterAutospacing="1"/>
    </w:pPr>
  </w:style>
  <w:style w:type="paragraph" w:styleId="Heading1">
    <w:name w:val="heading 1"/>
    <w:basedOn w:val="Normal"/>
    <w:next w:val="Normal"/>
    <w:link w:val="Heading1Char"/>
    <w:uiPriority w:val="9"/>
    <w:qFormat/>
    <w:rsid w:val="003B5820"/>
    <w:pPr>
      <w:keepNext/>
      <w:keepLines/>
      <w:spacing w:before="360" w:beforeAutospacing="0" w:after="80" w:afterAutospacing="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B5820"/>
    <w:pPr>
      <w:keepNext/>
      <w:keepLines/>
      <w:spacing w:before="160" w:beforeAutospacing="0" w:after="80" w:afterAutospacing="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5820"/>
    <w:pPr>
      <w:keepNext/>
      <w:keepLines/>
      <w:spacing w:before="160" w:beforeAutospacing="0" w:after="80" w:afterAutospacing="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5820"/>
    <w:pPr>
      <w:keepNext/>
      <w:keepLines/>
      <w:spacing w:before="80" w:beforeAutospacing="0" w:after="40" w:afterAutospacing="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5820"/>
    <w:pPr>
      <w:keepNext/>
      <w:keepLines/>
      <w:spacing w:before="80" w:beforeAutospacing="0" w:after="40" w:afterAutospacing="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5820"/>
    <w:pPr>
      <w:keepNext/>
      <w:keepLines/>
      <w:spacing w:before="40" w:beforeAutospacing="0" w:after="0" w:afterAutospacing="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5820"/>
    <w:pPr>
      <w:keepNext/>
      <w:keepLines/>
      <w:spacing w:before="40" w:beforeAutospacing="0" w:after="0" w:afterAutospacing="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5820"/>
    <w:pPr>
      <w:keepNext/>
      <w:keepLines/>
      <w:spacing w:before="0" w:beforeAutospacing="0" w:after="0" w:afterAutospacing="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5820"/>
    <w:pPr>
      <w:keepNext/>
      <w:keepLines/>
      <w:spacing w:before="0" w:beforeAutospacing="0" w:after="0" w:afterAutospacing="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58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B58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58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58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58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58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58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58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5820"/>
    <w:rPr>
      <w:rFonts w:eastAsiaTheme="majorEastAsia" w:cstheme="majorBidi"/>
      <w:color w:val="272727" w:themeColor="text1" w:themeTint="D8"/>
    </w:rPr>
  </w:style>
  <w:style w:type="paragraph" w:styleId="Title">
    <w:name w:val="Title"/>
    <w:basedOn w:val="Normal"/>
    <w:next w:val="Normal"/>
    <w:link w:val="TitleChar"/>
    <w:uiPriority w:val="10"/>
    <w:qFormat/>
    <w:rsid w:val="003B5820"/>
    <w:pPr>
      <w:spacing w:before="0" w:beforeAutospacing="0" w:after="80" w:afterAutospacing="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58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5820"/>
    <w:pPr>
      <w:numPr>
        <w:ilvl w:val="1"/>
      </w:numPr>
      <w:spacing w:before="0" w:beforeAutospacing="0" w:after="160" w:afterAutospacing="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58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5820"/>
    <w:pPr>
      <w:spacing w:before="160" w:beforeAutospacing="0" w:after="160" w:afterAutospacing="0"/>
      <w:jc w:val="center"/>
    </w:pPr>
    <w:rPr>
      <w:i/>
      <w:iCs/>
      <w:color w:val="404040" w:themeColor="text1" w:themeTint="BF"/>
    </w:rPr>
  </w:style>
  <w:style w:type="character" w:customStyle="1" w:styleId="QuoteChar">
    <w:name w:val="Quote Char"/>
    <w:basedOn w:val="DefaultParagraphFont"/>
    <w:link w:val="Quote"/>
    <w:uiPriority w:val="29"/>
    <w:rsid w:val="003B5820"/>
    <w:rPr>
      <w:i/>
      <w:iCs/>
      <w:color w:val="404040" w:themeColor="text1" w:themeTint="BF"/>
    </w:rPr>
  </w:style>
  <w:style w:type="paragraph" w:styleId="ListParagraph">
    <w:name w:val="List Paragraph"/>
    <w:basedOn w:val="Normal"/>
    <w:uiPriority w:val="34"/>
    <w:qFormat/>
    <w:rsid w:val="003B5820"/>
    <w:pPr>
      <w:spacing w:before="0" w:beforeAutospacing="0" w:after="0" w:afterAutospacing="0"/>
      <w:ind w:left="720"/>
      <w:contextualSpacing/>
    </w:pPr>
  </w:style>
  <w:style w:type="character" w:styleId="IntenseEmphasis">
    <w:name w:val="Intense Emphasis"/>
    <w:basedOn w:val="DefaultParagraphFont"/>
    <w:uiPriority w:val="21"/>
    <w:qFormat/>
    <w:rsid w:val="003B5820"/>
    <w:rPr>
      <w:i/>
      <w:iCs/>
      <w:color w:val="0F4761" w:themeColor="accent1" w:themeShade="BF"/>
    </w:rPr>
  </w:style>
  <w:style w:type="paragraph" w:styleId="IntenseQuote">
    <w:name w:val="Intense Quote"/>
    <w:basedOn w:val="Normal"/>
    <w:next w:val="Normal"/>
    <w:link w:val="IntenseQuoteChar"/>
    <w:uiPriority w:val="30"/>
    <w:qFormat/>
    <w:rsid w:val="003B5820"/>
    <w:pPr>
      <w:pBdr>
        <w:top w:val="single" w:sz="4" w:space="10" w:color="0F4761" w:themeColor="accent1" w:themeShade="BF"/>
        <w:bottom w:val="single" w:sz="4" w:space="10" w:color="0F4761" w:themeColor="accent1" w:themeShade="BF"/>
      </w:pBdr>
      <w:spacing w:before="360" w:beforeAutospacing="0" w:after="360" w:afterAutospacing="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5820"/>
    <w:rPr>
      <w:i/>
      <w:iCs/>
      <w:color w:val="0F4761" w:themeColor="accent1" w:themeShade="BF"/>
    </w:rPr>
  </w:style>
  <w:style w:type="character" w:styleId="IntenseReference">
    <w:name w:val="Intense Reference"/>
    <w:basedOn w:val="DefaultParagraphFont"/>
    <w:uiPriority w:val="32"/>
    <w:qFormat/>
    <w:rsid w:val="003B5820"/>
    <w:rPr>
      <w:b/>
      <w:bCs/>
      <w:smallCaps/>
      <w:color w:val="0F4761" w:themeColor="accent1" w:themeShade="BF"/>
      <w:spacing w:val="5"/>
    </w:rPr>
  </w:style>
  <w:style w:type="paragraph" w:styleId="EndnoteText">
    <w:name w:val="endnote text"/>
    <w:basedOn w:val="Normal"/>
    <w:link w:val="EndnoteTextChar"/>
    <w:uiPriority w:val="99"/>
    <w:unhideWhenUsed/>
    <w:rsid w:val="003B5820"/>
    <w:pPr>
      <w:spacing w:before="0" w:after="0"/>
    </w:pPr>
    <w:rPr>
      <w:sz w:val="20"/>
      <w:szCs w:val="20"/>
    </w:rPr>
  </w:style>
  <w:style w:type="character" w:customStyle="1" w:styleId="EndnoteTextChar">
    <w:name w:val="Endnote Text Char"/>
    <w:basedOn w:val="DefaultParagraphFont"/>
    <w:link w:val="EndnoteText"/>
    <w:uiPriority w:val="99"/>
    <w:rsid w:val="003B5820"/>
    <w:rPr>
      <w:sz w:val="20"/>
      <w:szCs w:val="20"/>
    </w:rPr>
  </w:style>
  <w:style w:type="character" w:styleId="EndnoteReference">
    <w:name w:val="endnote reference"/>
    <w:basedOn w:val="DefaultParagraphFont"/>
    <w:uiPriority w:val="99"/>
    <w:semiHidden/>
    <w:unhideWhenUsed/>
    <w:rsid w:val="003B5820"/>
    <w:rPr>
      <w:vertAlign w:val="superscript"/>
    </w:rPr>
  </w:style>
  <w:style w:type="paragraph" w:styleId="NormalWeb">
    <w:name w:val="Normal (Web)"/>
    <w:basedOn w:val="Normal"/>
    <w:uiPriority w:val="99"/>
    <w:semiHidden/>
    <w:unhideWhenUsed/>
    <w:rsid w:val="003B5820"/>
    <w:rPr>
      <w:rFonts w:ascii="Times New Roman" w:hAnsi="Times New Roman" w:cs="Times New Roman"/>
    </w:rPr>
  </w:style>
  <w:style w:type="paragraph" w:styleId="BodyText">
    <w:name w:val="Body Text"/>
    <w:basedOn w:val="Normal"/>
    <w:link w:val="BodyTextChar"/>
    <w:uiPriority w:val="99"/>
    <w:semiHidden/>
    <w:unhideWhenUsed/>
    <w:rsid w:val="003B5820"/>
    <w:pPr>
      <w:spacing w:after="120"/>
    </w:pPr>
  </w:style>
  <w:style w:type="character" w:customStyle="1" w:styleId="BodyTextChar">
    <w:name w:val="Body Text Char"/>
    <w:basedOn w:val="DefaultParagraphFont"/>
    <w:link w:val="BodyText"/>
    <w:uiPriority w:val="99"/>
    <w:semiHidden/>
    <w:rsid w:val="003B5820"/>
  </w:style>
  <w:style w:type="paragraph" w:styleId="Footer">
    <w:name w:val="footer"/>
    <w:basedOn w:val="Normal"/>
    <w:link w:val="FooterChar"/>
    <w:uiPriority w:val="99"/>
    <w:unhideWhenUsed/>
    <w:rsid w:val="003B5820"/>
    <w:pPr>
      <w:tabs>
        <w:tab w:val="center" w:pos="4680"/>
        <w:tab w:val="right" w:pos="9360"/>
      </w:tabs>
      <w:spacing w:before="0" w:after="0"/>
    </w:pPr>
  </w:style>
  <w:style w:type="character" w:customStyle="1" w:styleId="FooterChar">
    <w:name w:val="Footer Char"/>
    <w:basedOn w:val="DefaultParagraphFont"/>
    <w:link w:val="Footer"/>
    <w:uiPriority w:val="99"/>
    <w:rsid w:val="003B5820"/>
  </w:style>
  <w:style w:type="character" w:styleId="PageNumber">
    <w:name w:val="page number"/>
    <w:basedOn w:val="DefaultParagraphFont"/>
    <w:uiPriority w:val="99"/>
    <w:semiHidden/>
    <w:unhideWhenUsed/>
    <w:rsid w:val="003B58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9902</Words>
  <Characters>56448</Characters>
  <Application>Microsoft Office Word</Application>
  <DocSecurity>0</DocSecurity>
  <Lines>470</Lines>
  <Paragraphs>132</Paragraphs>
  <ScaleCrop>false</ScaleCrop>
  <Company/>
  <LinksUpToDate>false</LinksUpToDate>
  <CharactersWithSpaces>66218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1</cp:revision>
  <dcterms:created xsi:type="dcterms:W3CDTF">2024-05-29T02:37:00Z</dcterms:created>
  <dcterms:modified xsi:type="dcterms:W3CDTF">2024-05-29T02:38:00Z</dcterms:modified>
</cp:coreProperties>
</file>