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464EDF" w14:textId="0FEC5810" w:rsidR="00E13BCB" w:rsidRPr="00E13BCB" w:rsidRDefault="00E13BCB" w:rsidP="00E13BCB">
      <w:pPr>
        <w:rPr>
          <w:bCs/>
          <w:color w:val="FF0000"/>
          <w:sz w:val="28"/>
          <w:szCs w:val="28"/>
        </w:rPr>
      </w:pPr>
    </w:p>
    <w:p w14:paraId="794CB932" w14:textId="77777777" w:rsidR="00E13BCB" w:rsidRDefault="00E13BCB" w:rsidP="00E13BCB">
      <w:pPr>
        <w:rPr>
          <w:color w:val="FF0000"/>
          <w:sz w:val="28"/>
          <w:szCs w:val="28"/>
        </w:rPr>
      </w:pPr>
    </w:p>
    <w:p w14:paraId="0F699A7E" w14:textId="77777777" w:rsidR="00E13BCB" w:rsidRDefault="00E13BCB" w:rsidP="00E13BCB">
      <w:pPr>
        <w:rPr>
          <w:b/>
          <w:sz w:val="28"/>
          <w:szCs w:val="28"/>
        </w:rPr>
      </w:pPr>
    </w:p>
    <w:p w14:paraId="615899D4" w14:textId="77777777" w:rsidR="00E13BCB" w:rsidRDefault="00E13BCB" w:rsidP="00E13BCB">
      <w:pPr>
        <w:jc w:val="center"/>
        <w:rPr>
          <w:b/>
          <w:sz w:val="32"/>
          <w:szCs w:val="32"/>
        </w:rPr>
      </w:pPr>
      <w:r>
        <w:rPr>
          <w:b/>
          <w:sz w:val="32"/>
          <w:szCs w:val="32"/>
        </w:rPr>
        <w:t>Creating No-Man’s Land and the Conditions</w:t>
      </w:r>
    </w:p>
    <w:p w14:paraId="1F1253DA" w14:textId="77777777" w:rsidR="00E13BCB" w:rsidRPr="00875000" w:rsidRDefault="00E13BCB" w:rsidP="00E13BCB">
      <w:pPr>
        <w:jc w:val="center"/>
        <w:rPr>
          <w:b/>
          <w:sz w:val="32"/>
          <w:szCs w:val="32"/>
        </w:rPr>
      </w:pPr>
      <w:r>
        <w:rPr>
          <w:b/>
          <w:sz w:val="32"/>
          <w:szCs w:val="32"/>
        </w:rPr>
        <w:t>for Conflict in the Middle East</w:t>
      </w:r>
    </w:p>
    <w:p w14:paraId="1D279303" w14:textId="77777777" w:rsidR="00E13BCB" w:rsidRDefault="00E13BCB" w:rsidP="00E13BCB"/>
    <w:p w14:paraId="123F9224" w14:textId="77777777" w:rsidR="00E13BCB" w:rsidRDefault="00E13BCB" w:rsidP="00E13BCB"/>
    <w:p w14:paraId="2BD61D76" w14:textId="77777777" w:rsidR="00E13BCB" w:rsidRDefault="00E13BCB" w:rsidP="00E13BCB"/>
    <w:p w14:paraId="5034FC0D" w14:textId="77777777" w:rsidR="00E13BCB" w:rsidRDefault="00E13BCB" w:rsidP="00E13BCB"/>
    <w:p w14:paraId="1BB663CE" w14:textId="77777777" w:rsidR="00E13BCB" w:rsidRDefault="00E13BCB" w:rsidP="00E13BCB"/>
    <w:p w14:paraId="3F1F8A96" w14:textId="77777777" w:rsidR="00E13BCB" w:rsidRDefault="00E13BCB" w:rsidP="00E13BCB">
      <w:pPr>
        <w:rPr>
          <w:sz w:val="28"/>
          <w:szCs w:val="28"/>
        </w:rPr>
      </w:pPr>
      <w:r>
        <w:rPr>
          <w:sz w:val="28"/>
          <w:szCs w:val="28"/>
        </w:rPr>
        <w:t>The issue of sovereignty must certainly be the earliest problem in international law.  From the time that organized groups of people started living in close proximity with one another, there must have been issues of who controlled what areas, why, how they could prove it, and how control might be changed.</w:t>
      </w:r>
      <w:r>
        <w:rPr>
          <w:rStyle w:val="EndnoteReference"/>
          <w:sz w:val="28"/>
          <w:szCs w:val="28"/>
        </w:rPr>
        <w:endnoteReference w:id="1"/>
      </w:r>
      <w:r>
        <w:rPr>
          <w:sz w:val="28"/>
          <w:szCs w:val="28"/>
        </w:rPr>
        <w:t xml:space="preserve">  While for most of human history, ownership of land was the most fundamental, and valuable, source of wealth, sovereignty means much more than ownership of the land; the sovereign doesn’t have to be the owner, but they do have to be the ruler.  Sovereignty encompasses rule, control, independence, and equality before the law with other sovereign states.</w:t>
      </w:r>
      <w:r>
        <w:rPr>
          <w:rStyle w:val="EndnoteReference"/>
          <w:sz w:val="28"/>
          <w:szCs w:val="28"/>
        </w:rPr>
        <w:endnoteReference w:id="2"/>
      </w:r>
      <w:r>
        <w:rPr>
          <w:sz w:val="28"/>
          <w:szCs w:val="28"/>
        </w:rPr>
        <w:t xml:space="preserve">  These elements and more are accorded variable weight depending on the problems and contexts. </w:t>
      </w:r>
    </w:p>
    <w:p w14:paraId="38147189" w14:textId="77777777" w:rsidR="00E13BCB" w:rsidRDefault="00E13BCB" w:rsidP="00E13BCB">
      <w:pPr>
        <w:rPr>
          <w:sz w:val="28"/>
          <w:szCs w:val="28"/>
        </w:rPr>
      </w:pPr>
    </w:p>
    <w:p w14:paraId="035474D5" w14:textId="77777777" w:rsidR="00E13BCB" w:rsidRDefault="00E13BCB" w:rsidP="00E13BCB">
      <w:pPr>
        <w:rPr>
          <w:sz w:val="28"/>
          <w:szCs w:val="28"/>
        </w:rPr>
      </w:pPr>
      <w:r>
        <w:rPr>
          <w:sz w:val="28"/>
          <w:szCs w:val="28"/>
        </w:rPr>
        <w:t>After WWI, there was an attempt to lessen state sovereignty in favor of greater control by the international community; the intent was to reduce conflict between states.  The League of Nations (LN) was created, and with it, there were experiments in new forms of sovereignty, including the mandate system.</w:t>
      </w:r>
      <w:r>
        <w:rPr>
          <w:rStyle w:val="EndnoteReference"/>
          <w:sz w:val="28"/>
          <w:szCs w:val="28"/>
        </w:rPr>
        <w:endnoteReference w:id="3"/>
      </w:r>
      <w:r>
        <w:rPr>
          <w:sz w:val="28"/>
          <w:szCs w:val="28"/>
        </w:rPr>
        <w:t xml:space="preserve">  This was a hybrid system of international and national control designed as an alternative to colonialism, which had fallen out of favor.  Sovereignty was unclear in this structure, but the leaders of the League were willing to experiment and implement new ideas, given that the failures of the old notions had produced such a damaging war.  One mandated territory in particular became a focus of conflict and concern: Palestine.  Jewish immigration to that mandate made it significantly different from the other mandated territories.  </w:t>
      </w:r>
    </w:p>
    <w:p w14:paraId="5A12BD9C" w14:textId="77777777" w:rsidR="00E13BCB" w:rsidRDefault="00E13BCB" w:rsidP="00E13BCB">
      <w:pPr>
        <w:rPr>
          <w:sz w:val="28"/>
          <w:szCs w:val="28"/>
        </w:rPr>
      </w:pPr>
    </w:p>
    <w:p w14:paraId="1C00E64A" w14:textId="77777777" w:rsidR="00E13BCB" w:rsidRPr="00ED380D" w:rsidRDefault="00E13BCB" w:rsidP="00E13BCB">
      <w:pPr>
        <w:rPr>
          <w:sz w:val="28"/>
          <w:szCs w:val="28"/>
        </w:rPr>
      </w:pPr>
      <w:r>
        <w:rPr>
          <w:sz w:val="28"/>
          <w:szCs w:val="28"/>
        </w:rPr>
        <w:t xml:space="preserve">After WWII, states were all the more anxious to save themselves from further world wars, but the LN and its many experiments had failed in its aim of keeping the peace.  The UN was a successor organization, but it ignored the LN as much as possible, pretending that it was an entirely new institution.  The mandate system of the LN became the trusteeship system, a roughly analogous structure.  In </w:t>
      </w:r>
      <w:proofErr w:type="gramStart"/>
      <w:r>
        <w:rPr>
          <w:sz w:val="28"/>
          <w:szCs w:val="28"/>
        </w:rPr>
        <w:t>Feb,</w:t>
      </w:r>
      <w:proofErr w:type="gramEnd"/>
      <w:r>
        <w:rPr>
          <w:sz w:val="28"/>
          <w:szCs w:val="28"/>
        </w:rPr>
        <w:t xml:space="preserve"> </w:t>
      </w:r>
      <w:r>
        <w:rPr>
          <w:sz w:val="28"/>
          <w:szCs w:val="28"/>
        </w:rPr>
        <w:lastRenderedPageBreak/>
        <w:t xml:space="preserve">1947 the United Kingdom (UK), holder of the mandate over Palestine, returned that mandate to the UN General Assembly (GA) for them to decide how to dispose of.  While the general story of the partition and creation of the state of Israel are well known, the sovereign status of the lands of mandatory Palestine is less understood.  During the negotiations that led to the partition and those that followed the war in 1948, the international community had multiple opportunities to regularize sovereignty in Israel, the West Bank and Gaza, but did not.  They allowed the West Bank and Gaza to be the only inhabited places on earth without defined </w:t>
      </w:r>
      <w:proofErr w:type="gramStart"/>
      <w:r>
        <w:rPr>
          <w:sz w:val="28"/>
          <w:szCs w:val="28"/>
        </w:rPr>
        <w:t>sovereignty, and</w:t>
      </w:r>
      <w:proofErr w:type="gramEnd"/>
      <w:r>
        <w:rPr>
          <w:sz w:val="28"/>
          <w:szCs w:val="28"/>
        </w:rPr>
        <w:t xml:space="preserve"> left both Israel and Jordan with attenuated forms of sovereignty, not entirely equal to that accorded to other states.  They did this knowing some of the difficulties that this would </w:t>
      </w:r>
      <w:proofErr w:type="gramStart"/>
      <w:r>
        <w:rPr>
          <w:sz w:val="28"/>
          <w:szCs w:val="28"/>
        </w:rPr>
        <w:t>engender, but</w:t>
      </w:r>
      <w:proofErr w:type="gramEnd"/>
      <w:r>
        <w:rPr>
          <w:sz w:val="28"/>
          <w:szCs w:val="28"/>
        </w:rPr>
        <w:t xml:space="preserve"> did it none the less.  Their choices not only made the problems harder to solve, but also more prone to eruptions of violence.      </w:t>
      </w:r>
    </w:p>
    <w:p w14:paraId="698F5C7A" w14:textId="77777777" w:rsidR="00E13BCB" w:rsidRDefault="00E13BCB" w:rsidP="00E13BCB"/>
    <w:p w14:paraId="3BDBABFB" w14:textId="77777777" w:rsidR="00E13BCB" w:rsidRPr="00A43DD0" w:rsidRDefault="00E13BCB" w:rsidP="00E13BCB">
      <w:pPr>
        <w:rPr>
          <w:b/>
          <w:sz w:val="28"/>
          <w:szCs w:val="28"/>
        </w:rPr>
      </w:pPr>
      <w:r w:rsidRPr="00A43DD0">
        <w:rPr>
          <w:b/>
          <w:sz w:val="28"/>
          <w:szCs w:val="28"/>
        </w:rPr>
        <w:t>Listening in at the Talk-Shop</w:t>
      </w:r>
    </w:p>
    <w:p w14:paraId="75619917" w14:textId="77777777" w:rsidR="00E13BCB" w:rsidRDefault="00E13BCB" w:rsidP="00E13BCB">
      <w:pPr>
        <w:rPr>
          <w:sz w:val="28"/>
          <w:szCs w:val="28"/>
        </w:rPr>
      </w:pPr>
    </w:p>
    <w:p w14:paraId="3C3B108D" w14:textId="77777777" w:rsidR="00E13BCB" w:rsidRDefault="00E13BCB" w:rsidP="00E13BCB">
      <w:pPr>
        <w:rPr>
          <w:sz w:val="28"/>
          <w:szCs w:val="28"/>
        </w:rPr>
      </w:pPr>
      <w:r>
        <w:rPr>
          <w:sz w:val="28"/>
          <w:szCs w:val="28"/>
        </w:rPr>
        <w:t>A necessary aside and justification: this paper takes as its primary documents discussions at the UN.</w:t>
      </w:r>
      <w:r>
        <w:rPr>
          <w:rStyle w:val="EndnoteReference"/>
          <w:sz w:val="28"/>
          <w:szCs w:val="28"/>
        </w:rPr>
        <w:endnoteReference w:id="4"/>
      </w:r>
      <w:r>
        <w:rPr>
          <w:sz w:val="28"/>
          <w:szCs w:val="28"/>
        </w:rPr>
        <w:t xml:space="preserve">  Many historians tend to ignore the UN and look at international institutions of greater power: The World Bank, International Monetary Fund and others when seeking to understand the impact of the international community.  No one thinks of the UN as a particularly powerful or effectual institution and this would have been particularly true in 1948.  The initial optimistic expectations, some of them quite utopian, of what the UN might do had long since been disabused by the veto crisis and the Cold War.  At the same time, the Korean War, which proved to some that it could take forceful, timely action, was still two years off.  The US and UK could already see that they wouldn’t be able to control the organization, which had been their expectation. The USSR understood how to block actions with the veto, but still couldn’t get what it wanted, and the rising third world bloc hadn’t yet formed or figured how to use the General Assembly (GA).  Weighty issues, like nuclear disarmament and refugees, were on the agenda, but no one expected substantive agreements.  There was talk, and more talk, and more talk still.  </w:t>
      </w:r>
    </w:p>
    <w:p w14:paraId="40F6BB2D" w14:textId="77777777" w:rsidR="00E13BCB" w:rsidRDefault="00E13BCB" w:rsidP="00E13BCB">
      <w:pPr>
        <w:rPr>
          <w:sz w:val="28"/>
          <w:szCs w:val="28"/>
        </w:rPr>
      </w:pPr>
    </w:p>
    <w:p w14:paraId="547791E7" w14:textId="77777777" w:rsidR="00E13BCB" w:rsidRDefault="00E13BCB" w:rsidP="00E13BCB">
      <w:pPr>
        <w:rPr>
          <w:sz w:val="28"/>
          <w:szCs w:val="28"/>
        </w:rPr>
      </w:pPr>
      <w:r>
        <w:rPr>
          <w:sz w:val="28"/>
          <w:szCs w:val="28"/>
        </w:rPr>
        <w:t xml:space="preserve">In this case, we need to take the talk seriously.  Perhaps the uselessness of the UN in that era was a benefit: without fear of actual power leading to action, states were free to express their positions and speak to their interests in a relatively honest fashion.  Particularly in the First Committee, the political matters committee, there would have been little point in doing anything but expressing </w:t>
      </w:r>
      <w:r>
        <w:rPr>
          <w:sz w:val="28"/>
          <w:szCs w:val="28"/>
        </w:rPr>
        <w:lastRenderedPageBreak/>
        <w:t>what your state wanted, as there was so little at stake.  To be certain, they were all speaking to multiple audiences: they spoke for domestic consumption as well as to the community of nations, but most of them spoke freely and independently for what they wanted.</w:t>
      </w:r>
      <w:r>
        <w:rPr>
          <w:rStyle w:val="EndnoteReference"/>
          <w:sz w:val="28"/>
          <w:szCs w:val="28"/>
        </w:rPr>
        <w:endnoteReference w:id="5"/>
      </w:r>
      <w:r>
        <w:rPr>
          <w:sz w:val="28"/>
          <w:szCs w:val="28"/>
        </w:rPr>
        <w:t xml:space="preserve">  Further, they took the task strangely seriously; for all the jaw-jaw, there was no sarcasm</w:t>
      </w:r>
      <w:r>
        <w:rPr>
          <w:rStyle w:val="EndnoteReference"/>
          <w:sz w:val="28"/>
          <w:szCs w:val="28"/>
        </w:rPr>
        <w:endnoteReference w:id="6"/>
      </w:r>
      <w:r>
        <w:rPr>
          <w:sz w:val="28"/>
          <w:szCs w:val="28"/>
        </w:rPr>
        <w:t xml:space="preserve"> and they all seemed convinced of the importance of their words.  Their arguments were their product.</w:t>
      </w:r>
      <w:r>
        <w:rPr>
          <w:rStyle w:val="EndnoteReference"/>
          <w:sz w:val="28"/>
          <w:szCs w:val="28"/>
        </w:rPr>
        <w:endnoteReference w:id="7"/>
      </w:r>
      <w:r>
        <w:rPr>
          <w:sz w:val="28"/>
          <w:szCs w:val="28"/>
        </w:rPr>
        <w:t xml:space="preserve">    Without a UN military force to enforce decisions, talk was as much force as was available.  And talk they did.</w:t>
      </w:r>
      <w:r>
        <w:rPr>
          <w:rStyle w:val="EndnoteReference"/>
          <w:sz w:val="28"/>
          <w:szCs w:val="28"/>
        </w:rPr>
        <w:endnoteReference w:id="8"/>
      </w:r>
      <w:r>
        <w:rPr>
          <w:sz w:val="28"/>
          <w:szCs w:val="28"/>
        </w:rPr>
        <w:t xml:space="preserve">   We will listen.</w:t>
      </w:r>
    </w:p>
    <w:p w14:paraId="0A251B9F" w14:textId="77777777" w:rsidR="00E13BCB" w:rsidRDefault="00E13BCB" w:rsidP="00E13BCB">
      <w:pPr>
        <w:rPr>
          <w:sz w:val="28"/>
          <w:szCs w:val="28"/>
        </w:rPr>
      </w:pPr>
    </w:p>
    <w:p w14:paraId="4CA147ED" w14:textId="77777777" w:rsidR="00E13BCB" w:rsidRDefault="00E13BCB" w:rsidP="00E13BCB"/>
    <w:p w14:paraId="62512C88" w14:textId="77777777" w:rsidR="00E13BCB" w:rsidRPr="00A43DD0" w:rsidRDefault="00E13BCB" w:rsidP="00E13BCB">
      <w:pPr>
        <w:rPr>
          <w:b/>
          <w:sz w:val="28"/>
          <w:szCs w:val="28"/>
        </w:rPr>
      </w:pPr>
      <w:r w:rsidRPr="00A43DD0">
        <w:rPr>
          <w:b/>
          <w:sz w:val="28"/>
          <w:szCs w:val="28"/>
        </w:rPr>
        <w:t xml:space="preserve">Thinking about Sovereignty </w:t>
      </w:r>
    </w:p>
    <w:p w14:paraId="5F264AA6" w14:textId="77777777" w:rsidR="00E13BCB" w:rsidRDefault="00E13BCB" w:rsidP="00E13BCB">
      <w:pPr>
        <w:rPr>
          <w:sz w:val="28"/>
          <w:szCs w:val="28"/>
        </w:rPr>
      </w:pPr>
    </w:p>
    <w:p w14:paraId="5B0ABC10" w14:textId="77777777" w:rsidR="00E13BCB" w:rsidRDefault="00E13BCB" w:rsidP="00E13BCB">
      <w:pPr>
        <w:rPr>
          <w:sz w:val="28"/>
          <w:szCs w:val="28"/>
        </w:rPr>
      </w:pPr>
      <w:r>
        <w:rPr>
          <w:sz w:val="28"/>
          <w:szCs w:val="28"/>
        </w:rPr>
        <w:t>International law is an odd beast, marked by absences- the absences of an authority superior to the states, of a legislator, and of any enforceable sanctions-</w:t>
      </w:r>
      <w:r>
        <w:rPr>
          <w:rStyle w:val="EndnoteReference"/>
          <w:sz w:val="28"/>
          <w:szCs w:val="28"/>
        </w:rPr>
        <w:endnoteReference w:id="9"/>
      </w:r>
      <w:r>
        <w:rPr>
          <w:sz w:val="28"/>
          <w:szCs w:val="28"/>
        </w:rPr>
        <w:t xml:space="preserve"> which make it different from municipal law.  Yet it still has purpose, force, and jurists thinking about it.  Called publicists, they are legitimate sources of that body of law.  International law is thus global but also personal; rooted in the interplay between states, theory, and individuals.  The publicists themselves straddle politics, law and philosophy.  Decisions from international courts are relatively few, and a recent development, so custom, accepted practice and writings</w:t>
      </w:r>
      <w:r>
        <w:rPr>
          <w:rStyle w:val="EndnoteReference"/>
          <w:sz w:val="28"/>
          <w:szCs w:val="28"/>
        </w:rPr>
        <w:endnoteReference w:id="10"/>
      </w:r>
      <w:r>
        <w:rPr>
          <w:sz w:val="28"/>
          <w:szCs w:val="28"/>
        </w:rPr>
        <w:t xml:space="preserve"> form much of the body of the law.  It is little wonder, then, that the publicists are reflective of their time, place, and citizenship.  Around various subjects at different times, national schools form with a commonality of thought: Anglo-American, French, absolutist German, and fence-straddling Italians all have a place.  Other schools, like natural law, form around philosophical approaches.</w:t>
      </w:r>
    </w:p>
    <w:p w14:paraId="45DD9205" w14:textId="77777777" w:rsidR="00E13BCB" w:rsidRDefault="00E13BCB" w:rsidP="00E13BCB">
      <w:pPr>
        <w:rPr>
          <w:sz w:val="28"/>
          <w:szCs w:val="28"/>
        </w:rPr>
      </w:pPr>
    </w:p>
    <w:p w14:paraId="6037AC58" w14:textId="77777777" w:rsidR="00E13BCB" w:rsidRDefault="00E13BCB" w:rsidP="00E13BCB">
      <w:pPr>
        <w:rPr>
          <w:sz w:val="28"/>
          <w:szCs w:val="28"/>
        </w:rPr>
      </w:pPr>
      <w:r>
        <w:rPr>
          <w:sz w:val="28"/>
          <w:szCs w:val="28"/>
        </w:rPr>
        <w:t>In order to judge the decisions made we first need to understand what materials were available to the decision-makers at the UN at that time. Then we can investigate how the issue of sovereignty might affect the Arab/Zionist conflict, for this, we begin with three influential 20</w:t>
      </w:r>
      <w:r w:rsidRPr="003A72F2">
        <w:rPr>
          <w:sz w:val="28"/>
          <w:szCs w:val="28"/>
          <w:vertAlign w:val="superscript"/>
        </w:rPr>
        <w:t>th</w:t>
      </w:r>
      <w:r>
        <w:rPr>
          <w:sz w:val="28"/>
          <w:szCs w:val="28"/>
        </w:rPr>
        <w:t xml:space="preserve"> century publicists, of different backgrounds, who brought different perspectives to what might constitute sovereignty.    Quincy Wright, an American with a long career in international law, wrote in the late 1920s.  </w:t>
      </w:r>
      <w:proofErr w:type="spellStart"/>
      <w:r>
        <w:rPr>
          <w:sz w:val="28"/>
          <w:szCs w:val="28"/>
        </w:rPr>
        <w:t>Eelco</w:t>
      </w:r>
      <w:proofErr w:type="spellEnd"/>
      <w:r>
        <w:rPr>
          <w:sz w:val="28"/>
          <w:szCs w:val="28"/>
        </w:rPr>
        <w:t xml:space="preserve"> van </w:t>
      </w:r>
      <w:proofErr w:type="spellStart"/>
      <w:r>
        <w:rPr>
          <w:sz w:val="28"/>
          <w:szCs w:val="28"/>
        </w:rPr>
        <w:t>Kleffans</w:t>
      </w:r>
      <w:proofErr w:type="spellEnd"/>
      <w:r>
        <w:rPr>
          <w:sz w:val="28"/>
          <w:szCs w:val="28"/>
        </w:rPr>
        <w:t xml:space="preserve"> was a Dutch jurist writing about sovereignty in the immediate post-WWII years.   Marek St </w:t>
      </w:r>
      <w:proofErr w:type="spellStart"/>
      <w:r>
        <w:rPr>
          <w:sz w:val="28"/>
          <w:szCs w:val="28"/>
        </w:rPr>
        <w:t>Korowicz</w:t>
      </w:r>
      <w:proofErr w:type="spellEnd"/>
      <w:r>
        <w:rPr>
          <w:sz w:val="28"/>
          <w:szCs w:val="28"/>
        </w:rPr>
        <w:t xml:space="preserve"> was a Polish publicist writing in the later 1950s, and by then living in the US.  Between them, we can pick up different strains of thinking about sovereignty and its development at that time.</w:t>
      </w:r>
    </w:p>
    <w:p w14:paraId="52DBA6B3" w14:textId="77777777" w:rsidR="00E13BCB" w:rsidRDefault="00E13BCB" w:rsidP="00E13BCB">
      <w:pPr>
        <w:rPr>
          <w:sz w:val="28"/>
          <w:szCs w:val="28"/>
        </w:rPr>
      </w:pPr>
    </w:p>
    <w:p w14:paraId="4F970F19" w14:textId="77777777" w:rsidR="00E13BCB" w:rsidRPr="0046587B" w:rsidRDefault="00E13BCB" w:rsidP="00E13BCB">
      <w:pPr>
        <w:rPr>
          <w:sz w:val="28"/>
          <w:szCs w:val="28"/>
        </w:rPr>
      </w:pPr>
      <w:r>
        <w:rPr>
          <w:sz w:val="28"/>
          <w:szCs w:val="28"/>
        </w:rPr>
        <w:lastRenderedPageBreak/>
        <w:t xml:space="preserve"> In 1930, Wright, a law professor at the University of Chicago, published the most complete and important book on the subject of mandates.</w:t>
      </w:r>
      <w:r>
        <w:rPr>
          <w:rStyle w:val="EndnoteReference"/>
          <w:sz w:val="28"/>
          <w:szCs w:val="28"/>
        </w:rPr>
        <w:endnoteReference w:id="11"/>
      </w:r>
      <w:r>
        <w:rPr>
          <w:sz w:val="28"/>
          <w:szCs w:val="28"/>
        </w:rPr>
        <w:t xml:space="preserve">   He wrote about the League from a particular time and place: he was an American, interested in and supportive of the League, but the US wasn’t a member.  By 1930, the League had achieved 10 years running without a real crisis; an excellent track record for an entirely new sort of institution.   Wright was tolerant of ambiguity in sovereignty, interested in the experiments the League was carrying out, and took a broad view of the possibilities.</w:t>
      </w:r>
      <w:r>
        <w:rPr>
          <w:rStyle w:val="EndnoteReference"/>
          <w:sz w:val="28"/>
          <w:szCs w:val="28"/>
        </w:rPr>
        <w:endnoteReference w:id="12"/>
      </w:r>
      <w:r>
        <w:rPr>
          <w:sz w:val="28"/>
          <w:szCs w:val="28"/>
        </w:rPr>
        <w:t xml:space="preserve">   While the law was his focus, he was always mindful of the necessary balance between law and politics.</w:t>
      </w:r>
      <w:r>
        <w:rPr>
          <w:rStyle w:val="EndnoteReference"/>
          <w:sz w:val="28"/>
          <w:szCs w:val="28"/>
        </w:rPr>
        <w:endnoteReference w:id="13"/>
      </w:r>
      <w:r>
        <w:rPr>
          <w:sz w:val="28"/>
          <w:szCs w:val="28"/>
        </w:rPr>
        <w:t xml:space="preserve">  It is a rare jurist who starts his chapter ‘The System of International Law’ with: “It is easy to exaggerate the importance of precise description of institutions in terms of existing law.  They can often function without it - in fact, they can sometimes function better without it because their natural development is less restricted.  The ingenuity of statesmen usually outstrips the classificatory skill of jurists.”</w:t>
      </w:r>
      <w:r>
        <w:rPr>
          <w:rStyle w:val="EndnoteReference"/>
          <w:sz w:val="28"/>
          <w:szCs w:val="28"/>
        </w:rPr>
        <w:endnoteReference w:id="14"/>
      </w:r>
      <w:r>
        <w:rPr>
          <w:sz w:val="28"/>
          <w:szCs w:val="28"/>
        </w:rPr>
        <w:t xml:space="preserve">   He offers a standard definition of sovereignty and “…all territory is under the sovereignty of some state.” </w:t>
      </w:r>
      <w:r>
        <w:rPr>
          <w:rStyle w:val="EndnoteReference"/>
          <w:sz w:val="28"/>
          <w:szCs w:val="28"/>
        </w:rPr>
        <w:endnoteReference w:id="15"/>
      </w:r>
      <w:r>
        <w:rPr>
          <w:sz w:val="28"/>
          <w:szCs w:val="28"/>
        </w:rPr>
        <w:t xml:space="preserve"> but then went on to “Convenient as territorial sovereignty may be, it is neither necessary nor is it a condition actually existing in every part of the world.”</w:t>
      </w:r>
      <w:r>
        <w:rPr>
          <w:rStyle w:val="EndnoteReference"/>
          <w:sz w:val="28"/>
          <w:szCs w:val="28"/>
        </w:rPr>
        <w:endnoteReference w:id="16"/>
      </w:r>
      <w:r>
        <w:rPr>
          <w:sz w:val="28"/>
          <w:szCs w:val="28"/>
        </w:rPr>
        <w:t xml:space="preserve">  He offered a series of examples of uncertain sovereignty that for him don’t constitute problems or anomalies, but simply the fullness and variety of the concept.</w:t>
      </w:r>
      <w:r>
        <w:rPr>
          <w:rStyle w:val="EndnoteReference"/>
          <w:sz w:val="28"/>
          <w:szCs w:val="28"/>
        </w:rPr>
        <w:endnoteReference w:id="17"/>
      </w:r>
      <w:r>
        <w:rPr>
          <w:sz w:val="28"/>
          <w:szCs w:val="28"/>
        </w:rPr>
        <w:t xml:space="preserve">  WWI was a brutal reminder of the costs of force, and post-war thinkers worked on new approaches to save the world another such cataclysm.  Wright was of this liberal strain; international institutions and the relaxation of sovereignty could make the use of force unnecessary in international relations.</w:t>
      </w:r>
      <w:r>
        <w:rPr>
          <w:rStyle w:val="EndnoteReference"/>
          <w:sz w:val="28"/>
          <w:szCs w:val="28"/>
        </w:rPr>
        <w:endnoteReference w:id="18"/>
      </w:r>
      <w:r>
        <w:rPr>
          <w:sz w:val="28"/>
          <w:szCs w:val="28"/>
        </w:rPr>
        <w:t xml:space="preserve">  Freed from the constraints of tradition-bound law, politics would be more responsive to new conditions and create innovative structures that, by lessening the powers of and delineations between States, would foster a more peaceable world.  Structures like the mandates, which can only be understood as </w:t>
      </w:r>
      <w:r>
        <w:rPr>
          <w:i/>
          <w:sz w:val="28"/>
          <w:szCs w:val="28"/>
        </w:rPr>
        <w:t xml:space="preserve">sui generis, </w:t>
      </w:r>
      <w:r>
        <w:rPr>
          <w:sz w:val="28"/>
          <w:szCs w:val="28"/>
        </w:rPr>
        <w:t xml:space="preserve">incomprehensible with the old tools of international law, are an example of these necessary and desirable innovations.  </w:t>
      </w:r>
    </w:p>
    <w:p w14:paraId="712B0566" w14:textId="77777777" w:rsidR="00E13BCB" w:rsidRDefault="00E13BCB" w:rsidP="00E13BCB">
      <w:pPr>
        <w:rPr>
          <w:sz w:val="28"/>
          <w:szCs w:val="28"/>
        </w:rPr>
      </w:pPr>
    </w:p>
    <w:p w14:paraId="1A7B19A9" w14:textId="77777777" w:rsidR="00E13BCB" w:rsidRDefault="00E13BCB" w:rsidP="00E13BCB">
      <w:pPr>
        <w:rPr>
          <w:sz w:val="28"/>
          <w:szCs w:val="28"/>
        </w:rPr>
      </w:pPr>
      <w:r>
        <w:rPr>
          <w:sz w:val="28"/>
          <w:szCs w:val="28"/>
        </w:rPr>
        <w:t>If WWI was a reminder of the costs of force, WWII was that and then some: it showed the barbarity and depravity of apparently civilized, developed nations and peoples.  Something had to be done to save Europe, and the world, from itself, as the end of that war had shown the possible nature of the next war.</w:t>
      </w:r>
    </w:p>
    <w:p w14:paraId="7F9428C1" w14:textId="77777777" w:rsidR="00E13BCB" w:rsidRDefault="00E13BCB" w:rsidP="00E13BCB">
      <w:pPr>
        <w:rPr>
          <w:sz w:val="28"/>
          <w:szCs w:val="28"/>
        </w:rPr>
      </w:pPr>
    </w:p>
    <w:p w14:paraId="71EC7570" w14:textId="77777777" w:rsidR="00E13BCB" w:rsidRDefault="00E13BCB" w:rsidP="00E13BCB">
      <w:pPr>
        <w:rPr>
          <w:sz w:val="28"/>
          <w:szCs w:val="28"/>
        </w:rPr>
      </w:pPr>
      <w:proofErr w:type="spellStart"/>
      <w:r>
        <w:rPr>
          <w:sz w:val="28"/>
          <w:szCs w:val="28"/>
        </w:rPr>
        <w:t>Eelco</w:t>
      </w:r>
      <w:proofErr w:type="spellEnd"/>
      <w:r>
        <w:rPr>
          <w:sz w:val="28"/>
          <w:szCs w:val="28"/>
        </w:rPr>
        <w:t xml:space="preserve"> van </w:t>
      </w:r>
      <w:proofErr w:type="spellStart"/>
      <w:r>
        <w:rPr>
          <w:sz w:val="28"/>
          <w:szCs w:val="28"/>
        </w:rPr>
        <w:t>Kleffens</w:t>
      </w:r>
      <w:proofErr w:type="spellEnd"/>
      <w:r>
        <w:rPr>
          <w:sz w:val="28"/>
          <w:szCs w:val="28"/>
        </w:rPr>
        <w:t xml:space="preserve"> delivered five lectures on the nature of sovereignty to the Hague Academy of international law in 1953.</w:t>
      </w:r>
      <w:r>
        <w:rPr>
          <w:rStyle w:val="EndnoteReference"/>
          <w:sz w:val="28"/>
          <w:szCs w:val="28"/>
        </w:rPr>
        <w:endnoteReference w:id="19"/>
      </w:r>
      <w:r>
        <w:rPr>
          <w:sz w:val="28"/>
          <w:szCs w:val="28"/>
        </w:rPr>
        <w:t xml:space="preserve">  By that time, he had been an </w:t>
      </w:r>
      <w:r>
        <w:rPr>
          <w:sz w:val="28"/>
          <w:szCs w:val="28"/>
        </w:rPr>
        <w:lastRenderedPageBreak/>
        <w:t>international lawyer, worked in both the League of Nations and the United Nations for the Dutch government, been a diplomat and Ambassador to the US for his nation as well as Minister of State. He had also been Secretary-General of the body he was speaking to, so he was well prepared to deliver these lectures.</w:t>
      </w:r>
    </w:p>
    <w:p w14:paraId="1762374F" w14:textId="77777777" w:rsidR="00E13BCB" w:rsidRDefault="00E13BCB" w:rsidP="00E13BCB">
      <w:pPr>
        <w:rPr>
          <w:sz w:val="28"/>
          <w:szCs w:val="28"/>
        </w:rPr>
      </w:pPr>
    </w:p>
    <w:p w14:paraId="2DF0A1A6" w14:textId="77777777" w:rsidR="00E13BCB" w:rsidRDefault="00E13BCB" w:rsidP="00E13BCB">
      <w:pPr>
        <w:rPr>
          <w:sz w:val="28"/>
          <w:szCs w:val="28"/>
        </w:rPr>
      </w:pPr>
      <w:r>
        <w:rPr>
          <w:sz w:val="28"/>
          <w:szCs w:val="28"/>
        </w:rPr>
        <w:t>While the Netherlands was overrun in both world wars, it remained an outward looking, liberal state in the post-WWII years.  A small nation, hard to defend, it had never relied on its military for its power.  Instead, it was a trading nation, open to the world and seeking to keep relations open with all nations if only to trade with them.  Moreover, since gaining independence in the late 16</w:t>
      </w:r>
      <w:r w:rsidRPr="00D771F0">
        <w:rPr>
          <w:sz w:val="28"/>
          <w:szCs w:val="28"/>
          <w:vertAlign w:val="superscript"/>
        </w:rPr>
        <w:t>th</w:t>
      </w:r>
      <w:r>
        <w:rPr>
          <w:sz w:val="28"/>
          <w:szCs w:val="28"/>
        </w:rPr>
        <w:t xml:space="preserve"> century, it had only ever defended itself through alliances and keeping clear of other nations’ wars.  During the LN it had a seat on the Permanent Mandates Commission because it was an imperial power, so it understood that set of problems.</w:t>
      </w:r>
    </w:p>
    <w:p w14:paraId="03762FE1" w14:textId="77777777" w:rsidR="00E13BCB" w:rsidRDefault="00E13BCB" w:rsidP="00E13BCB">
      <w:pPr>
        <w:rPr>
          <w:sz w:val="28"/>
          <w:szCs w:val="28"/>
        </w:rPr>
      </w:pPr>
      <w:r>
        <w:rPr>
          <w:sz w:val="28"/>
          <w:szCs w:val="28"/>
        </w:rPr>
        <w:t xml:space="preserve">  </w:t>
      </w:r>
    </w:p>
    <w:p w14:paraId="681784A8" w14:textId="77777777" w:rsidR="00E13BCB" w:rsidRDefault="00E13BCB" w:rsidP="00E13BCB">
      <w:pPr>
        <w:rPr>
          <w:sz w:val="28"/>
          <w:szCs w:val="28"/>
        </w:rPr>
      </w:pPr>
      <w:r>
        <w:rPr>
          <w:sz w:val="28"/>
          <w:szCs w:val="28"/>
        </w:rPr>
        <w:t xml:space="preserve">In his understanding of the nature of the law, van </w:t>
      </w:r>
      <w:proofErr w:type="spellStart"/>
      <w:r>
        <w:rPr>
          <w:sz w:val="28"/>
          <w:szCs w:val="28"/>
        </w:rPr>
        <w:t>Kleffens</w:t>
      </w:r>
      <w:proofErr w:type="spellEnd"/>
      <w:r>
        <w:rPr>
          <w:sz w:val="28"/>
          <w:szCs w:val="28"/>
        </w:rPr>
        <w:t xml:space="preserve"> is something of a conservative, rooting law in natural morality,</w:t>
      </w:r>
      <w:r>
        <w:rPr>
          <w:rStyle w:val="EndnoteReference"/>
          <w:sz w:val="28"/>
          <w:szCs w:val="28"/>
        </w:rPr>
        <w:endnoteReference w:id="20"/>
      </w:r>
      <w:r>
        <w:rPr>
          <w:sz w:val="28"/>
          <w:szCs w:val="28"/>
        </w:rPr>
        <w:t xml:space="preserve"> while his understanding of sovereignty is more modern: “The adjective “sovereign” in the sense of omnipotent and self-determining may be explained as a historical delusion…”</w:t>
      </w:r>
      <w:r>
        <w:rPr>
          <w:rStyle w:val="EndnoteReference"/>
          <w:sz w:val="28"/>
          <w:szCs w:val="28"/>
        </w:rPr>
        <w:endnoteReference w:id="21"/>
      </w:r>
    </w:p>
    <w:p w14:paraId="69490A87" w14:textId="77777777" w:rsidR="00E13BCB" w:rsidRDefault="00E13BCB" w:rsidP="00E13BCB">
      <w:pPr>
        <w:rPr>
          <w:sz w:val="28"/>
          <w:szCs w:val="28"/>
        </w:rPr>
      </w:pPr>
      <w:r>
        <w:rPr>
          <w:sz w:val="28"/>
          <w:szCs w:val="28"/>
        </w:rPr>
        <w:t>One issue on which he differed from Wright is that he demanded that sovereignty be indivisible.</w:t>
      </w:r>
      <w:r>
        <w:rPr>
          <w:rStyle w:val="EndnoteReference"/>
          <w:sz w:val="28"/>
          <w:szCs w:val="28"/>
        </w:rPr>
        <w:endnoteReference w:id="22"/>
      </w:r>
      <w:r>
        <w:rPr>
          <w:sz w:val="28"/>
          <w:szCs w:val="28"/>
        </w:rPr>
        <w:t xml:space="preserve">   Here we might see his understanding of the failures of the interwar experiments and of international law more generally.</w:t>
      </w:r>
      <w:r>
        <w:rPr>
          <w:rStyle w:val="EndnoteReference"/>
          <w:sz w:val="28"/>
          <w:szCs w:val="28"/>
        </w:rPr>
        <w:endnoteReference w:id="23"/>
      </w:r>
      <w:r>
        <w:rPr>
          <w:sz w:val="28"/>
          <w:szCs w:val="28"/>
        </w:rPr>
        <w:t xml:space="preserve">  On the other hand, he looked forward to the lessening of sovereignty in the bounds of treaties.  For him, international organizations like the UN, NATO, and the European Coal and Steel Community do not lessen the quality of the state, but they do enhance security and stability.  He had seen human </w:t>
      </w:r>
      <w:proofErr w:type="gramStart"/>
      <w:r>
        <w:rPr>
          <w:sz w:val="28"/>
          <w:szCs w:val="28"/>
        </w:rPr>
        <w:t>nature, and</w:t>
      </w:r>
      <w:proofErr w:type="gramEnd"/>
      <w:r>
        <w:rPr>
          <w:sz w:val="28"/>
          <w:szCs w:val="28"/>
        </w:rPr>
        <w:t xml:space="preserve"> was less optimistic than Wright.</w:t>
      </w:r>
      <w:r>
        <w:rPr>
          <w:rStyle w:val="EndnoteReference"/>
          <w:sz w:val="28"/>
          <w:szCs w:val="28"/>
        </w:rPr>
        <w:endnoteReference w:id="24"/>
      </w:r>
      <w:r>
        <w:rPr>
          <w:sz w:val="28"/>
          <w:szCs w:val="28"/>
        </w:rPr>
        <w:t xml:space="preserve">   In the end, he is pragmatic, it isn’t what he wants that counts: </w:t>
      </w:r>
      <w:r w:rsidRPr="00C13D7F">
        <w:rPr>
          <w:sz w:val="28"/>
          <w:szCs w:val="28"/>
        </w:rPr>
        <w:t>“If, then, for our own salvation we of W</w:t>
      </w:r>
      <w:r>
        <w:rPr>
          <w:sz w:val="28"/>
          <w:szCs w:val="28"/>
        </w:rPr>
        <w:t>estern</w:t>
      </w:r>
      <w:r w:rsidRPr="00C13D7F">
        <w:rPr>
          <w:sz w:val="28"/>
          <w:szCs w:val="28"/>
        </w:rPr>
        <w:t xml:space="preserve"> Eur</w:t>
      </w:r>
      <w:r>
        <w:rPr>
          <w:sz w:val="28"/>
          <w:szCs w:val="28"/>
        </w:rPr>
        <w:t>ope</w:t>
      </w:r>
      <w:r w:rsidRPr="00C13D7F">
        <w:rPr>
          <w:sz w:val="28"/>
          <w:szCs w:val="28"/>
        </w:rPr>
        <w:t xml:space="preserve"> try to federate or integrate, we do so because with our mind (not always in our heart) we recognize that this is necessary for our survival.  This is one of the reasons why it is so difficult.”</w:t>
      </w:r>
      <w:r>
        <w:rPr>
          <w:sz w:val="28"/>
          <w:szCs w:val="28"/>
        </w:rPr>
        <w:t xml:space="preserve">  Between the lessons of the two World Wars and the looming threat of the USSR, the law is a tool of survival, and if that means accepting a delusion, so be it.</w:t>
      </w:r>
    </w:p>
    <w:p w14:paraId="3225D3A8" w14:textId="77777777" w:rsidR="00E13BCB" w:rsidRDefault="00E13BCB" w:rsidP="00E13BCB">
      <w:pPr>
        <w:rPr>
          <w:sz w:val="28"/>
          <w:szCs w:val="28"/>
        </w:rPr>
      </w:pPr>
    </w:p>
    <w:p w14:paraId="70359C1C" w14:textId="77777777" w:rsidR="00E13BCB" w:rsidRDefault="00E13BCB" w:rsidP="00E13BCB">
      <w:pPr>
        <w:rPr>
          <w:sz w:val="28"/>
          <w:szCs w:val="28"/>
        </w:rPr>
      </w:pPr>
      <w:r>
        <w:rPr>
          <w:sz w:val="28"/>
          <w:szCs w:val="28"/>
        </w:rPr>
        <w:t xml:space="preserve">Poland, a state sandwiched between powerful neighbors, had appeared and disappeared multiple times in multiple shapes, all at the behest of those more powerful states.  Marek St </w:t>
      </w:r>
      <w:proofErr w:type="spellStart"/>
      <w:r>
        <w:rPr>
          <w:sz w:val="28"/>
          <w:szCs w:val="28"/>
        </w:rPr>
        <w:t>Korowicz</w:t>
      </w:r>
      <w:proofErr w:type="spellEnd"/>
      <w:r>
        <w:rPr>
          <w:sz w:val="28"/>
          <w:szCs w:val="28"/>
        </w:rPr>
        <w:t xml:space="preserve"> felt this in his understanding of sovereignty.   By the time he wrote this book, Poland had again ceased to be a fully </w:t>
      </w:r>
      <w:r>
        <w:rPr>
          <w:sz w:val="28"/>
          <w:szCs w:val="28"/>
        </w:rPr>
        <w:lastRenderedPageBreak/>
        <w:t xml:space="preserve">independent </w:t>
      </w:r>
      <w:proofErr w:type="gramStart"/>
      <w:r>
        <w:rPr>
          <w:sz w:val="28"/>
          <w:szCs w:val="28"/>
        </w:rPr>
        <w:t>state, but</w:t>
      </w:r>
      <w:proofErr w:type="gramEnd"/>
      <w:r>
        <w:rPr>
          <w:sz w:val="28"/>
          <w:szCs w:val="28"/>
        </w:rPr>
        <w:t xml:space="preserve"> was “…the ghost of hollow sovereignty.”-his description of the legal status of Soviet satellite states.</w:t>
      </w:r>
      <w:r>
        <w:rPr>
          <w:rStyle w:val="EndnoteReference"/>
          <w:sz w:val="28"/>
          <w:szCs w:val="28"/>
        </w:rPr>
        <w:endnoteReference w:id="25"/>
      </w:r>
      <w:r>
        <w:rPr>
          <w:sz w:val="28"/>
          <w:szCs w:val="28"/>
        </w:rPr>
        <w:t xml:space="preserve">  St </w:t>
      </w:r>
      <w:proofErr w:type="spellStart"/>
      <w:r>
        <w:rPr>
          <w:sz w:val="28"/>
          <w:szCs w:val="28"/>
        </w:rPr>
        <w:t>Korowicz</w:t>
      </w:r>
      <w:proofErr w:type="spellEnd"/>
      <w:r>
        <w:rPr>
          <w:sz w:val="28"/>
          <w:szCs w:val="28"/>
        </w:rPr>
        <w:t xml:space="preserve"> demanded the greatest clarity in the law; he knew that where there is imprecision, the strong will exploit it, and the weak will pay the price.  His definition, then, is short and clear: </w:t>
      </w:r>
      <w:r w:rsidRPr="00215AB5">
        <w:rPr>
          <w:sz w:val="28"/>
          <w:szCs w:val="28"/>
        </w:rPr>
        <w:t>“Sovereignty of a State is its supreme power over its territory and inhabitants, as well as its independence of any external authority.”</w:t>
      </w:r>
      <w:r>
        <w:rPr>
          <w:rStyle w:val="EndnoteReference"/>
          <w:sz w:val="28"/>
          <w:szCs w:val="28"/>
        </w:rPr>
        <w:endnoteReference w:id="26"/>
      </w:r>
      <w:r>
        <w:rPr>
          <w:sz w:val="28"/>
          <w:szCs w:val="28"/>
        </w:rPr>
        <w:t xml:space="preserve">  He accepted that the horrors of WWII required a rethinking of sovereignty and that treaties and international organizations potentially lessen it,</w:t>
      </w:r>
      <w:r>
        <w:rPr>
          <w:rStyle w:val="EndnoteReference"/>
          <w:sz w:val="28"/>
          <w:szCs w:val="28"/>
        </w:rPr>
        <w:endnoteReference w:id="27"/>
      </w:r>
      <w:r>
        <w:rPr>
          <w:sz w:val="28"/>
          <w:szCs w:val="28"/>
        </w:rPr>
        <w:t xml:space="preserve"> but at the same time approvingly notes that the UN has a much stronger protection for States’ ‘domestic jurisdiction’ than did the LN.</w:t>
      </w:r>
      <w:r>
        <w:rPr>
          <w:rStyle w:val="EndnoteReference"/>
          <w:sz w:val="28"/>
          <w:szCs w:val="28"/>
        </w:rPr>
        <w:endnoteReference w:id="28"/>
      </w:r>
      <w:r>
        <w:rPr>
          <w:sz w:val="28"/>
          <w:szCs w:val="28"/>
        </w:rPr>
        <w:t xml:space="preserve">  Poland felt greatly injured in the inter-war years by the LN’s Minority Rights regime, which compromised its sovereignty, and he terms it “a lamentable failure”.</w:t>
      </w:r>
      <w:r>
        <w:rPr>
          <w:rStyle w:val="EndnoteReference"/>
          <w:sz w:val="28"/>
          <w:szCs w:val="28"/>
        </w:rPr>
        <w:endnoteReference w:id="29"/>
      </w:r>
      <w:r>
        <w:rPr>
          <w:sz w:val="28"/>
          <w:szCs w:val="28"/>
        </w:rPr>
        <w:t xml:space="preserve">  He understood that the aim of the LN was a good one, but his section on ‘disguised intervention’ shows that any infringement on sovereignty is too much.</w:t>
      </w:r>
      <w:r>
        <w:rPr>
          <w:rStyle w:val="EndnoteReference"/>
          <w:sz w:val="28"/>
          <w:szCs w:val="28"/>
        </w:rPr>
        <w:endnoteReference w:id="30"/>
      </w:r>
      <w:r>
        <w:rPr>
          <w:sz w:val="28"/>
          <w:szCs w:val="28"/>
        </w:rPr>
        <w:t xml:space="preserve">  Likewise, his demand that all states must be equal before the law, however unequal they are in the realities of power politics, is an assertion of sovereignty and a protection for the weak.</w:t>
      </w:r>
      <w:r>
        <w:rPr>
          <w:rStyle w:val="EndnoteReference"/>
          <w:sz w:val="28"/>
          <w:szCs w:val="28"/>
        </w:rPr>
        <w:endnoteReference w:id="31"/>
      </w:r>
      <w:r>
        <w:rPr>
          <w:sz w:val="28"/>
          <w:szCs w:val="28"/>
        </w:rPr>
        <w:t xml:space="preserve">  </w:t>
      </w:r>
    </w:p>
    <w:p w14:paraId="53B2D455" w14:textId="77777777" w:rsidR="00E13BCB" w:rsidRDefault="00E13BCB" w:rsidP="00E13BCB">
      <w:pPr>
        <w:rPr>
          <w:sz w:val="28"/>
          <w:szCs w:val="28"/>
        </w:rPr>
      </w:pPr>
    </w:p>
    <w:p w14:paraId="0E88ABF4" w14:textId="77777777" w:rsidR="00E13BCB" w:rsidRDefault="00E13BCB" w:rsidP="00E13BCB">
      <w:pPr>
        <w:rPr>
          <w:sz w:val="28"/>
          <w:szCs w:val="28"/>
        </w:rPr>
      </w:pPr>
      <w:r>
        <w:rPr>
          <w:sz w:val="28"/>
          <w:szCs w:val="28"/>
        </w:rPr>
        <w:t xml:space="preserve">In 29 years of writing, we span from the acceptance of experiments by an American who wasn’t subject to them, to the angry representative of an effaced state, jealous of any slight to independent sovereignty.  In between was the Dutchman, grounded in faith, but willing to sacrifice some national sovereignty for the sake of simple survival, and at the same time admitting that it is painful.  Wright was by far the least opinionated; he was mainly content to describe and report, optimistic and willing to give the experiments time.  For him, if something is done, then it must be valid in the law.  Van </w:t>
      </w:r>
      <w:proofErr w:type="spellStart"/>
      <w:r>
        <w:rPr>
          <w:sz w:val="28"/>
          <w:szCs w:val="28"/>
        </w:rPr>
        <w:t>Kleffens</w:t>
      </w:r>
      <w:proofErr w:type="spellEnd"/>
      <w:r>
        <w:rPr>
          <w:sz w:val="28"/>
          <w:szCs w:val="28"/>
        </w:rPr>
        <w:t xml:space="preserve">, ever hopeful of saving Western Europe and his country, was willing to mute his opinions and go along with necessity.  He certainly desired that all of international law would follow his golden rule, but he knew that power politics was more important and would often fail that test.    St </w:t>
      </w:r>
      <w:proofErr w:type="spellStart"/>
      <w:r>
        <w:rPr>
          <w:sz w:val="28"/>
          <w:szCs w:val="28"/>
        </w:rPr>
        <w:t>Korowicz</w:t>
      </w:r>
      <w:proofErr w:type="spellEnd"/>
      <w:r>
        <w:rPr>
          <w:sz w:val="28"/>
          <w:szCs w:val="28"/>
        </w:rPr>
        <w:t>, beyond hope, is angry and opinionated and judgmental; he had already lost his country.  For him, clarity in the law was of paramount importance if the law was to help create stable conditions.  There is a range of opinion here, but also a clear trajectory over time.  These are the sorts of theories and ideas available to those making decisions at the UN in 1948.  They would use all this as they created the conditions of sovereignty in the Middle East.</w:t>
      </w:r>
    </w:p>
    <w:p w14:paraId="2C3978C6" w14:textId="77777777" w:rsidR="00E13BCB" w:rsidRDefault="00E13BCB" w:rsidP="00E13BCB">
      <w:pPr>
        <w:rPr>
          <w:sz w:val="28"/>
          <w:szCs w:val="28"/>
        </w:rPr>
      </w:pPr>
    </w:p>
    <w:p w14:paraId="33DB0232" w14:textId="77777777" w:rsidR="00E13BCB" w:rsidRPr="00A43DD0" w:rsidRDefault="00E13BCB" w:rsidP="00E13BCB">
      <w:pPr>
        <w:rPr>
          <w:b/>
          <w:sz w:val="28"/>
          <w:szCs w:val="28"/>
        </w:rPr>
      </w:pPr>
      <w:r w:rsidRPr="00A43DD0">
        <w:rPr>
          <w:b/>
          <w:sz w:val="28"/>
          <w:szCs w:val="28"/>
        </w:rPr>
        <w:t>The Status of Sovereignty in the Mandates</w:t>
      </w:r>
    </w:p>
    <w:p w14:paraId="73F00FD4" w14:textId="77777777" w:rsidR="00E13BCB" w:rsidRDefault="00E13BCB" w:rsidP="00E13BCB">
      <w:pPr>
        <w:rPr>
          <w:sz w:val="28"/>
          <w:szCs w:val="28"/>
        </w:rPr>
      </w:pPr>
    </w:p>
    <w:p w14:paraId="5B9C25C9" w14:textId="77777777" w:rsidR="00E13BCB" w:rsidRDefault="00E13BCB" w:rsidP="00E13BCB">
      <w:pPr>
        <w:rPr>
          <w:sz w:val="28"/>
          <w:szCs w:val="28"/>
        </w:rPr>
      </w:pPr>
      <w:r>
        <w:rPr>
          <w:sz w:val="28"/>
          <w:szCs w:val="28"/>
        </w:rPr>
        <w:lastRenderedPageBreak/>
        <w:t>From the general concept of sovereignty, we can now question how it might have been applied to the Palestine mandate in 1948, when the UN took up the problem.</w:t>
      </w:r>
      <w:r>
        <w:rPr>
          <w:rStyle w:val="EndnoteReference"/>
          <w:sz w:val="28"/>
          <w:szCs w:val="28"/>
        </w:rPr>
        <w:endnoteReference w:id="32"/>
      </w:r>
      <w:r>
        <w:rPr>
          <w:sz w:val="28"/>
          <w:szCs w:val="28"/>
        </w:rPr>
        <w:t xml:space="preserve">  Sovereignty over Palestine was well understood until 1923, when Turkey relinquished its rights to the Allied Powers of WWI.</w:t>
      </w:r>
      <w:r>
        <w:rPr>
          <w:rStyle w:val="EndnoteReference"/>
          <w:sz w:val="28"/>
          <w:szCs w:val="28"/>
        </w:rPr>
        <w:endnoteReference w:id="33"/>
      </w:r>
      <w:r>
        <w:rPr>
          <w:sz w:val="28"/>
          <w:szCs w:val="28"/>
        </w:rPr>
        <w:t xml:space="preserve">  By then, the LN had already turned the various Ottoman provinces over to the UK and France as mandates.  From this moment on, sovereignty was ambiguous.  The first task, then, is to describe the various possibilities for sovereignty in the mandate system, and for that, Wright is the acknowledged expert.  </w:t>
      </w:r>
    </w:p>
    <w:p w14:paraId="10626DE8" w14:textId="77777777" w:rsidR="00E13BCB" w:rsidRDefault="00E13BCB" w:rsidP="00E13BCB">
      <w:pPr>
        <w:rPr>
          <w:sz w:val="28"/>
          <w:szCs w:val="28"/>
        </w:rPr>
      </w:pPr>
    </w:p>
    <w:p w14:paraId="2B1F279D" w14:textId="77777777" w:rsidR="00E13BCB" w:rsidRDefault="00E13BCB" w:rsidP="00E13BCB">
      <w:pPr>
        <w:rPr>
          <w:sz w:val="28"/>
          <w:szCs w:val="28"/>
        </w:rPr>
      </w:pPr>
      <w:r>
        <w:rPr>
          <w:sz w:val="28"/>
          <w:szCs w:val="28"/>
        </w:rPr>
        <w:t>From his introduction on, Wright is perfectly willing to report that sovereignty is at best ambiguous:</w:t>
      </w:r>
      <w:r w:rsidRPr="002E70DA">
        <w:rPr>
          <w:sz w:val="28"/>
          <w:szCs w:val="28"/>
        </w:rPr>
        <w:t xml:space="preserve"> “Furthermore, the Mandate system marks perhaps the most important innovation wrought by the peace treaties and the Covenant in the system of international law…yet here are vast territories… not under the sov</w:t>
      </w:r>
      <w:r>
        <w:rPr>
          <w:sz w:val="28"/>
          <w:szCs w:val="28"/>
        </w:rPr>
        <w:t>ereignty</w:t>
      </w:r>
      <w:r w:rsidRPr="002E70DA">
        <w:rPr>
          <w:sz w:val="28"/>
          <w:szCs w:val="28"/>
        </w:rPr>
        <w:t xml:space="preserve"> of any state but in a status new to </w:t>
      </w:r>
      <w:r>
        <w:rPr>
          <w:sz w:val="28"/>
          <w:szCs w:val="28"/>
        </w:rPr>
        <w:t>international law</w:t>
      </w:r>
      <w:r w:rsidRPr="002E70DA">
        <w:rPr>
          <w:sz w:val="28"/>
          <w:szCs w:val="28"/>
        </w:rPr>
        <w:t>.”</w:t>
      </w:r>
      <w:r>
        <w:rPr>
          <w:rStyle w:val="EndnoteReference"/>
          <w:sz w:val="28"/>
          <w:szCs w:val="28"/>
        </w:rPr>
        <w:endnoteReference w:id="34"/>
      </w:r>
      <w:r>
        <w:rPr>
          <w:sz w:val="28"/>
          <w:szCs w:val="28"/>
        </w:rPr>
        <w:t xml:space="preserve">  While he accepted it as ambiguous, and allowed it to remain that way, his is a systematic study, and so offered an overview of the various possibilities.  There are 10 possibilities as to who might hold sovereignty in all, but he managed to boil them down to four general options: 1. The Allied and associated powers, 2. The holders of the mandates, 3. The mandated communities, that is, the populations of the mandates, and 4. The League of Nations.</w:t>
      </w:r>
      <w:r>
        <w:rPr>
          <w:rStyle w:val="EndnoteReference"/>
          <w:sz w:val="28"/>
          <w:szCs w:val="28"/>
        </w:rPr>
        <w:endnoteReference w:id="35"/>
      </w:r>
      <w:r>
        <w:rPr>
          <w:sz w:val="28"/>
          <w:szCs w:val="28"/>
        </w:rPr>
        <w:t xml:space="preserve">  He goes on to assess these options; almost entirely rejecting the first two, and conditionally accepting the possibility of the latter two.  One of his possible conclusions is </w:t>
      </w:r>
      <w:r w:rsidRPr="005E2346">
        <w:rPr>
          <w:sz w:val="28"/>
          <w:szCs w:val="28"/>
        </w:rPr>
        <w:t>“Thus perhaps our tentative statement might be completed by stating that sov</w:t>
      </w:r>
      <w:r>
        <w:rPr>
          <w:sz w:val="28"/>
          <w:szCs w:val="28"/>
        </w:rPr>
        <w:t>ereignty</w:t>
      </w:r>
      <w:r w:rsidRPr="005E2346">
        <w:rPr>
          <w:sz w:val="28"/>
          <w:szCs w:val="28"/>
        </w:rPr>
        <w:t xml:space="preserve"> of the areas is vested in the League acting through the Covenant amending process, and is exercised by the mandatory with consent of the Council for eventual transfer to the mandated communities themselves.”</w:t>
      </w:r>
      <w:r>
        <w:rPr>
          <w:rStyle w:val="EndnoteReference"/>
          <w:sz w:val="28"/>
          <w:szCs w:val="28"/>
        </w:rPr>
        <w:endnoteReference w:id="36"/>
      </w:r>
      <w:r>
        <w:rPr>
          <w:sz w:val="28"/>
          <w:szCs w:val="28"/>
        </w:rPr>
        <w:t xml:space="preserve">   However, this struggle to understand the location of sovereignty must be balanced with his initial understanding that the mandates are </w:t>
      </w:r>
      <w:r>
        <w:rPr>
          <w:i/>
          <w:sz w:val="28"/>
          <w:szCs w:val="28"/>
        </w:rPr>
        <w:t>sui generis</w:t>
      </w:r>
      <w:r>
        <w:rPr>
          <w:sz w:val="28"/>
          <w:szCs w:val="28"/>
        </w:rPr>
        <w:t xml:space="preserve"> and therefore cannot be explained in traditional terms.  </w:t>
      </w:r>
      <w:r w:rsidRPr="005E2346">
        <w:rPr>
          <w:sz w:val="28"/>
          <w:szCs w:val="28"/>
        </w:rPr>
        <w:t>”Similar to this theory [that sovereignty is held virtually for some future native inhabitants that will be capable of administering their own nation] is that which hold that not merely the exercise of sovereignty but sovereignty itself over the mandated territories is suspended.”</w:t>
      </w:r>
      <w:r>
        <w:rPr>
          <w:rStyle w:val="EndnoteReference"/>
          <w:sz w:val="28"/>
          <w:szCs w:val="28"/>
        </w:rPr>
        <w:endnoteReference w:id="37"/>
      </w:r>
      <w:r>
        <w:rPr>
          <w:sz w:val="28"/>
          <w:szCs w:val="28"/>
        </w:rPr>
        <w:t xml:space="preserve">  The LN itself must have been comfortable with this notion, as the Hymans Report of 1920, well before the Middle East mandates were granted, expressly declined to say where sovereignty resided.</w:t>
      </w:r>
      <w:r>
        <w:rPr>
          <w:rStyle w:val="EndnoteReference"/>
          <w:sz w:val="28"/>
          <w:szCs w:val="28"/>
        </w:rPr>
        <w:endnoteReference w:id="38"/>
      </w:r>
      <w:r>
        <w:rPr>
          <w:sz w:val="28"/>
          <w:szCs w:val="28"/>
        </w:rPr>
        <w:t xml:space="preserve">   Had the LN been uncomfortable with this, they could have asked for clarification, either from a committee, or from the Permanent International Court of Justice.</w:t>
      </w:r>
      <w:r>
        <w:rPr>
          <w:rStyle w:val="EndnoteReference"/>
          <w:sz w:val="28"/>
          <w:szCs w:val="28"/>
        </w:rPr>
        <w:endnoteReference w:id="39"/>
      </w:r>
    </w:p>
    <w:p w14:paraId="653F6CB4" w14:textId="77777777" w:rsidR="00E13BCB" w:rsidRDefault="00E13BCB" w:rsidP="00E13BCB">
      <w:pPr>
        <w:rPr>
          <w:sz w:val="28"/>
          <w:szCs w:val="28"/>
        </w:rPr>
      </w:pPr>
    </w:p>
    <w:p w14:paraId="4D3A17D9" w14:textId="77777777" w:rsidR="00E13BCB" w:rsidRDefault="00E13BCB" w:rsidP="00E13BCB">
      <w:pPr>
        <w:rPr>
          <w:sz w:val="28"/>
          <w:szCs w:val="28"/>
        </w:rPr>
      </w:pPr>
      <w:r>
        <w:rPr>
          <w:sz w:val="28"/>
          <w:szCs w:val="28"/>
        </w:rPr>
        <w:lastRenderedPageBreak/>
        <w:t xml:space="preserve">Part of the problem might have been in the nature of the founding documents of the mandates system, as they were at best obscure.  Wright noted that many authors agree on this point and quotes one Henri </w:t>
      </w:r>
      <w:proofErr w:type="spellStart"/>
      <w:r>
        <w:rPr>
          <w:sz w:val="28"/>
          <w:szCs w:val="28"/>
        </w:rPr>
        <w:t>Rolin</w:t>
      </w:r>
      <w:proofErr w:type="spellEnd"/>
      <w:r>
        <w:rPr>
          <w:sz w:val="28"/>
          <w:szCs w:val="28"/>
        </w:rPr>
        <w:t xml:space="preserve">: </w:t>
      </w:r>
      <w:r w:rsidRPr="00CC761B">
        <w:rPr>
          <w:sz w:val="28"/>
          <w:szCs w:val="28"/>
        </w:rPr>
        <w:t>“No one will pretend that this text is a model of juridical drafting. The lack of precision of certain phrases, the clumsy circumlocutions, the absence of that simplicity and directness which enables us to see in the expressions what is really meant, causes us obvious embarrassment as soon as we read it…”</w:t>
      </w:r>
      <w:r>
        <w:rPr>
          <w:rStyle w:val="EndnoteReference"/>
          <w:sz w:val="28"/>
          <w:szCs w:val="28"/>
        </w:rPr>
        <w:endnoteReference w:id="40"/>
      </w:r>
      <w:r>
        <w:rPr>
          <w:sz w:val="28"/>
          <w:szCs w:val="28"/>
        </w:rPr>
        <w:t xml:space="preserve">  What starts with ambiguous documents will certainly end with ambiguous thinking and acting and thus keep the door open for conflict.  </w:t>
      </w:r>
    </w:p>
    <w:p w14:paraId="48B1AD3C" w14:textId="77777777" w:rsidR="00E13BCB" w:rsidRDefault="00E13BCB" w:rsidP="00E13BCB">
      <w:pPr>
        <w:rPr>
          <w:sz w:val="28"/>
          <w:szCs w:val="28"/>
        </w:rPr>
      </w:pPr>
    </w:p>
    <w:p w14:paraId="634FA29F" w14:textId="77777777" w:rsidR="00E13BCB" w:rsidRDefault="00E13BCB" w:rsidP="00E13BCB">
      <w:pPr>
        <w:rPr>
          <w:sz w:val="28"/>
          <w:szCs w:val="28"/>
        </w:rPr>
      </w:pPr>
      <w:r>
        <w:rPr>
          <w:sz w:val="28"/>
          <w:szCs w:val="28"/>
        </w:rPr>
        <w:t xml:space="preserve">Wright found the mandates system a qualified success, as well as a number of other LN experiments in sovereignty, and was able to embrace ambiguity: </w:t>
      </w:r>
      <w:r w:rsidRPr="00BE50CB">
        <w:rPr>
          <w:sz w:val="28"/>
          <w:szCs w:val="28"/>
        </w:rPr>
        <w:t>“Thus we are unable to find any psychological, political, sociological, or logical necessity for attributing sovereignty of the mandates to a single state.  Science and philosophy impose no prohibitions upon the jurist in defining the status of these areas.”</w:t>
      </w:r>
      <w:r>
        <w:rPr>
          <w:rStyle w:val="EndnoteReference"/>
          <w:sz w:val="28"/>
          <w:szCs w:val="28"/>
        </w:rPr>
        <w:endnoteReference w:id="41"/>
      </w:r>
      <w:r w:rsidRPr="00BE50CB">
        <w:rPr>
          <w:sz w:val="28"/>
          <w:szCs w:val="28"/>
        </w:rPr>
        <w:t xml:space="preserve">  </w:t>
      </w:r>
      <w:r>
        <w:rPr>
          <w:sz w:val="28"/>
          <w:szCs w:val="28"/>
        </w:rPr>
        <w:t xml:space="preserve"> If old thinking brought on wars, what was needed was new thinking and the exploration of new options.</w:t>
      </w:r>
    </w:p>
    <w:p w14:paraId="011EA713" w14:textId="77777777" w:rsidR="00E13BCB" w:rsidRDefault="00E13BCB" w:rsidP="00E13BCB">
      <w:pPr>
        <w:rPr>
          <w:sz w:val="28"/>
          <w:szCs w:val="28"/>
        </w:rPr>
      </w:pPr>
    </w:p>
    <w:p w14:paraId="0FFC3A4E" w14:textId="77777777" w:rsidR="00E13BCB" w:rsidRDefault="00E13BCB" w:rsidP="00E13BCB">
      <w:pPr>
        <w:rPr>
          <w:sz w:val="28"/>
          <w:szCs w:val="28"/>
        </w:rPr>
      </w:pPr>
      <w:r>
        <w:rPr>
          <w:sz w:val="28"/>
          <w:szCs w:val="28"/>
        </w:rPr>
        <w:t xml:space="preserve">It is worth noting here that suspended or absent sovereignty is different than disputed sovereignty.  In the latter case, multiple states might have reasonable claims to a territory, and cases can be made and judged.  In the former, there simply is not present sovereignty for any actor to claim, though there is some future potential for claims.  Neither of the post-WWII writers, van </w:t>
      </w:r>
      <w:proofErr w:type="spellStart"/>
      <w:r>
        <w:rPr>
          <w:sz w:val="28"/>
          <w:szCs w:val="28"/>
        </w:rPr>
        <w:t>Kleffens</w:t>
      </w:r>
      <w:proofErr w:type="spellEnd"/>
      <w:r>
        <w:rPr>
          <w:sz w:val="28"/>
          <w:szCs w:val="28"/>
        </w:rPr>
        <w:t xml:space="preserve"> and St </w:t>
      </w:r>
      <w:proofErr w:type="spellStart"/>
      <w:r>
        <w:rPr>
          <w:sz w:val="28"/>
          <w:szCs w:val="28"/>
        </w:rPr>
        <w:t>Korowicz</w:t>
      </w:r>
      <w:proofErr w:type="spellEnd"/>
      <w:r>
        <w:rPr>
          <w:sz w:val="28"/>
          <w:szCs w:val="28"/>
        </w:rPr>
        <w:t>, bothered with the concept of suspended sovereignty; neither of them wrote about the mandate system and probably considered it too anomalous to comment on; though both certainly felt that there were understandings to be gained about the nature of sovereignty by looking at anomalous cases, and did list them.</w:t>
      </w:r>
      <w:r>
        <w:rPr>
          <w:rStyle w:val="EndnoteReference"/>
          <w:sz w:val="28"/>
          <w:szCs w:val="28"/>
        </w:rPr>
        <w:endnoteReference w:id="42"/>
      </w:r>
      <w:r>
        <w:rPr>
          <w:sz w:val="28"/>
          <w:szCs w:val="28"/>
        </w:rPr>
        <w:t xml:space="preserve">  This is a concept that was not just </w:t>
      </w:r>
      <w:r>
        <w:rPr>
          <w:i/>
          <w:sz w:val="28"/>
          <w:szCs w:val="28"/>
        </w:rPr>
        <w:t xml:space="preserve">sui generis, </w:t>
      </w:r>
      <w:r>
        <w:rPr>
          <w:sz w:val="28"/>
          <w:szCs w:val="28"/>
        </w:rPr>
        <w:t xml:space="preserve">but was probably considered a failure in retrospect.  </w:t>
      </w:r>
    </w:p>
    <w:p w14:paraId="5A5570DE" w14:textId="77777777" w:rsidR="00E13BCB" w:rsidRDefault="00E13BCB" w:rsidP="00E13BCB">
      <w:pPr>
        <w:rPr>
          <w:sz w:val="28"/>
          <w:szCs w:val="28"/>
        </w:rPr>
      </w:pPr>
    </w:p>
    <w:p w14:paraId="1AD7D246" w14:textId="77777777" w:rsidR="00E13BCB" w:rsidRDefault="00E13BCB" w:rsidP="00E13BCB">
      <w:pPr>
        <w:rPr>
          <w:sz w:val="28"/>
          <w:szCs w:val="28"/>
        </w:rPr>
      </w:pPr>
      <w:r>
        <w:rPr>
          <w:sz w:val="28"/>
          <w:szCs w:val="28"/>
        </w:rPr>
        <w:t xml:space="preserve">Historian Susan Pedersen, in her history of the mandate system, devotes a chapter to the question of sovereignty.  She accepts that ambiguity was built into the system and that the questions remained open, but she is as interested in the politics as the </w:t>
      </w:r>
      <w:proofErr w:type="gramStart"/>
      <w:r>
        <w:rPr>
          <w:sz w:val="28"/>
          <w:szCs w:val="28"/>
        </w:rPr>
        <w:t>law, and</w:t>
      </w:r>
      <w:proofErr w:type="gramEnd"/>
      <w:r>
        <w:rPr>
          <w:sz w:val="28"/>
          <w:szCs w:val="28"/>
        </w:rPr>
        <w:t xml:space="preserve"> works to explain whose interests were served by ambiguity.   “</w:t>
      </w:r>
      <w:r w:rsidRPr="00E34D8E">
        <w:rPr>
          <w:sz w:val="28"/>
          <w:szCs w:val="28"/>
        </w:rPr>
        <w:t xml:space="preserve">The problem wasn’t simply that the legal question was complicated, although it was.  It was also that the mandatory powers </w:t>
      </w:r>
      <w:r w:rsidRPr="00E34D8E">
        <w:rPr>
          <w:i/>
          <w:sz w:val="28"/>
          <w:szCs w:val="28"/>
        </w:rPr>
        <w:t>preferred</w:t>
      </w:r>
      <w:r w:rsidRPr="00E34D8E">
        <w:rPr>
          <w:sz w:val="28"/>
          <w:szCs w:val="28"/>
        </w:rPr>
        <w:t xml:space="preserve"> to leave it unresolved.”</w:t>
      </w:r>
      <w:r>
        <w:rPr>
          <w:rStyle w:val="EndnoteReference"/>
          <w:sz w:val="28"/>
          <w:szCs w:val="28"/>
        </w:rPr>
        <w:endnoteReference w:id="43"/>
      </w:r>
      <w:r>
        <w:rPr>
          <w:sz w:val="28"/>
          <w:szCs w:val="28"/>
        </w:rPr>
        <w:t xml:space="preserve">  The root of the political compromise that resulted in the mandate </w:t>
      </w:r>
      <w:r>
        <w:rPr>
          <w:sz w:val="28"/>
          <w:szCs w:val="28"/>
        </w:rPr>
        <w:lastRenderedPageBreak/>
        <w:t xml:space="preserve">system was that, after WWI, the continental European victors wanted a victory that looked like any other victory in European wars; there would be </w:t>
      </w:r>
      <w:proofErr w:type="gramStart"/>
      <w:r>
        <w:rPr>
          <w:sz w:val="28"/>
          <w:szCs w:val="28"/>
        </w:rPr>
        <w:t>spoils:</w:t>
      </w:r>
      <w:proofErr w:type="gramEnd"/>
      <w:r>
        <w:rPr>
          <w:sz w:val="28"/>
          <w:szCs w:val="28"/>
        </w:rPr>
        <w:t xml:space="preserve"> in this case, some of these were the defeated nations’ colonies.  Wilson and the US wanted a new sort of victory, one without penalties that might provoke the next conflict.  Further, he was suspicious of empires in general, as was the State Department.  The mandates allowed the allies to distribute spoils of war from the defeated German and Ottoman Empires, but the mandate holders weren’t allowed to add them to their empires or take sovereignty.  The ambiguity that was written into the documents and allowed to continue was desired by the mandate holders because they could walk right up to the line that might define sovereignty but never be forced to admit to it.</w:t>
      </w:r>
      <w:r>
        <w:rPr>
          <w:rStyle w:val="EndnoteReference"/>
          <w:sz w:val="28"/>
          <w:szCs w:val="28"/>
        </w:rPr>
        <w:endnoteReference w:id="44"/>
      </w:r>
      <w:r>
        <w:rPr>
          <w:sz w:val="28"/>
          <w:szCs w:val="28"/>
        </w:rPr>
        <w:t xml:space="preserve">  While her conclusion is:</w:t>
      </w:r>
      <w:r w:rsidRPr="00BD6C64">
        <w:rPr>
          <w:sz w:val="28"/>
          <w:szCs w:val="28"/>
        </w:rPr>
        <w:t xml:space="preserve"> “As a result, what the mandatory system did was less to deprive the mandatory powers of sovereignty than to create spaces from which sovereignty was banished altogether.”</w:t>
      </w:r>
      <w:r>
        <w:rPr>
          <w:rStyle w:val="EndnoteReference"/>
          <w:sz w:val="28"/>
          <w:szCs w:val="28"/>
        </w:rPr>
        <w:endnoteReference w:id="45"/>
      </w:r>
      <w:r>
        <w:rPr>
          <w:sz w:val="28"/>
          <w:szCs w:val="28"/>
        </w:rPr>
        <w:t xml:space="preserve"> she considers this the desired result.  ‘Banished’, after all, cannot be a passive act.  This, of course is St </w:t>
      </w:r>
      <w:proofErr w:type="spellStart"/>
      <w:r>
        <w:rPr>
          <w:sz w:val="28"/>
          <w:szCs w:val="28"/>
        </w:rPr>
        <w:t>Korowicz’s</w:t>
      </w:r>
      <w:proofErr w:type="spellEnd"/>
      <w:r>
        <w:rPr>
          <w:sz w:val="28"/>
          <w:szCs w:val="28"/>
        </w:rPr>
        <w:t xml:space="preserve"> </w:t>
      </w:r>
      <w:proofErr w:type="gramStart"/>
      <w:r>
        <w:rPr>
          <w:sz w:val="28"/>
          <w:szCs w:val="28"/>
        </w:rPr>
        <w:t>thinking:</w:t>
      </w:r>
      <w:proofErr w:type="gramEnd"/>
      <w:r>
        <w:rPr>
          <w:sz w:val="28"/>
          <w:szCs w:val="28"/>
        </w:rPr>
        <w:t xml:space="preserve"> where there is ambiguity in the law, it will be the powerful who will benefit from it; the weak need clarity to protect them.  </w:t>
      </w:r>
    </w:p>
    <w:p w14:paraId="64AA8C83" w14:textId="77777777" w:rsidR="00E13BCB" w:rsidRDefault="00E13BCB" w:rsidP="00E13BCB">
      <w:pPr>
        <w:rPr>
          <w:sz w:val="28"/>
          <w:szCs w:val="28"/>
        </w:rPr>
      </w:pPr>
    </w:p>
    <w:p w14:paraId="7DDD698F" w14:textId="77777777" w:rsidR="00E13BCB" w:rsidRPr="00BD6C64" w:rsidRDefault="00E13BCB" w:rsidP="00E13BCB">
      <w:pPr>
        <w:rPr>
          <w:sz w:val="28"/>
          <w:szCs w:val="28"/>
        </w:rPr>
      </w:pPr>
      <w:r>
        <w:rPr>
          <w:sz w:val="28"/>
          <w:szCs w:val="28"/>
        </w:rPr>
        <w:t xml:space="preserve">While ambiguity was built into the mandate system, the mandate for Palestine  </w:t>
      </w:r>
    </w:p>
    <w:p w14:paraId="32278956" w14:textId="77777777" w:rsidR="00E13BCB" w:rsidRDefault="00E13BCB" w:rsidP="00E13BCB">
      <w:pPr>
        <w:rPr>
          <w:sz w:val="28"/>
          <w:szCs w:val="28"/>
        </w:rPr>
      </w:pPr>
      <w:r>
        <w:rPr>
          <w:sz w:val="28"/>
          <w:szCs w:val="28"/>
        </w:rPr>
        <w:t>was more ambiguous than any other, as it contained the provisions of the Balfour declaration.  First sent in 1917 from Foreign Secretary Lord Balfour to the Zionist community in the UK, it was incorporated into the British mandate for Palestine of 1922. The document included potentially contradictory promises to the international Jewish community as well as the native population.</w:t>
      </w:r>
      <w:r>
        <w:rPr>
          <w:rStyle w:val="EndnoteReference"/>
          <w:sz w:val="28"/>
          <w:szCs w:val="28"/>
        </w:rPr>
        <w:endnoteReference w:id="46"/>
      </w:r>
      <w:r>
        <w:rPr>
          <w:sz w:val="28"/>
          <w:szCs w:val="28"/>
        </w:rPr>
        <w:t xml:space="preserve"> The UK worked hard to get the LN to include this language in the mandate, and thus give it international legitimacy.  This was the only mandate that accorded non-native people specific rights to settlement.</w:t>
      </w:r>
      <w:r>
        <w:rPr>
          <w:rStyle w:val="EndnoteReference"/>
          <w:sz w:val="28"/>
          <w:szCs w:val="28"/>
        </w:rPr>
        <w:endnoteReference w:id="47"/>
      </w:r>
      <w:r>
        <w:rPr>
          <w:sz w:val="28"/>
          <w:szCs w:val="28"/>
        </w:rPr>
        <w:t xml:space="preserve">  In this way, the Jewish immigrants became a mandated community.</w:t>
      </w:r>
      <w:r>
        <w:rPr>
          <w:rStyle w:val="EndnoteReference"/>
          <w:sz w:val="28"/>
          <w:szCs w:val="28"/>
        </w:rPr>
        <w:endnoteReference w:id="48"/>
      </w:r>
      <w:r>
        <w:rPr>
          <w:sz w:val="28"/>
          <w:szCs w:val="28"/>
        </w:rPr>
        <w:t xml:space="preserve">  Thus, while all the mandates had development toward self- government as a final goal, this one might have promised it to two different peoples.  </w:t>
      </w:r>
    </w:p>
    <w:p w14:paraId="31CC81C8" w14:textId="77777777" w:rsidR="00E13BCB" w:rsidRDefault="00E13BCB" w:rsidP="00E13BCB">
      <w:pPr>
        <w:rPr>
          <w:sz w:val="28"/>
          <w:szCs w:val="28"/>
        </w:rPr>
      </w:pPr>
    </w:p>
    <w:p w14:paraId="0D9BB1D2" w14:textId="77777777" w:rsidR="00E13BCB" w:rsidRPr="00E34D8E" w:rsidRDefault="00E13BCB" w:rsidP="00E13BCB">
      <w:pPr>
        <w:rPr>
          <w:sz w:val="28"/>
          <w:szCs w:val="28"/>
        </w:rPr>
      </w:pPr>
      <w:r>
        <w:rPr>
          <w:sz w:val="28"/>
          <w:szCs w:val="28"/>
        </w:rPr>
        <w:t>This then is the situation that the UN inherited from the LN when it took over responsibility for the mandated states: sovereignty was undefined, contestable and probably suspended or non-existent.</w:t>
      </w:r>
    </w:p>
    <w:p w14:paraId="290188CD" w14:textId="77777777" w:rsidR="00E13BCB" w:rsidRDefault="00E13BCB" w:rsidP="00E13BCB">
      <w:pPr>
        <w:rPr>
          <w:sz w:val="28"/>
          <w:szCs w:val="28"/>
        </w:rPr>
      </w:pPr>
    </w:p>
    <w:p w14:paraId="3AE9ED33" w14:textId="77777777" w:rsidR="00E13BCB" w:rsidRPr="00A43DD0" w:rsidRDefault="00E13BCB" w:rsidP="00E13BCB">
      <w:pPr>
        <w:rPr>
          <w:b/>
          <w:sz w:val="28"/>
          <w:szCs w:val="28"/>
        </w:rPr>
      </w:pPr>
      <w:r w:rsidRPr="00A43DD0">
        <w:rPr>
          <w:b/>
          <w:sz w:val="28"/>
          <w:szCs w:val="28"/>
        </w:rPr>
        <w:t>The First Committee Applies Itself</w:t>
      </w:r>
    </w:p>
    <w:p w14:paraId="3B3D975E" w14:textId="77777777" w:rsidR="00E13BCB" w:rsidRDefault="00E13BCB" w:rsidP="00E13BCB">
      <w:pPr>
        <w:rPr>
          <w:sz w:val="28"/>
          <w:szCs w:val="28"/>
        </w:rPr>
      </w:pPr>
    </w:p>
    <w:p w14:paraId="44E4C2D2" w14:textId="77777777" w:rsidR="00E13BCB" w:rsidRDefault="00E13BCB" w:rsidP="00E13BCB">
      <w:pPr>
        <w:rPr>
          <w:sz w:val="28"/>
          <w:szCs w:val="28"/>
        </w:rPr>
      </w:pPr>
      <w:r>
        <w:rPr>
          <w:sz w:val="28"/>
          <w:szCs w:val="28"/>
        </w:rPr>
        <w:lastRenderedPageBreak/>
        <w:t>By the fall of 1948, most of the fighting in the war had finished, and now it was left to the UN, who had set the framework for that war by passing resolutions 181 of 27 Nov 1947 (the partition, hereafter 181) and then one that created the office of the mediator 14 May 1948, to guide the structure of a settlement. Much of that work was done in the First Committee (1C), which had two preliminary meetings in Oct, and then the work was done in 29 sessions 15 Nov. through 4 Dec.</w:t>
      </w:r>
      <w:r>
        <w:rPr>
          <w:rStyle w:val="EndnoteReference"/>
          <w:sz w:val="28"/>
          <w:szCs w:val="28"/>
        </w:rPr>
        <w:endnoteReference w:id="49"/>
      </w:r>
      <w:r>
        <w:rPr>
          <w:sz w:val="28"/>
          <w:szCs w:val="28"/>
        </w:rPr>
        <w:t xml:space="preserve">  The agenda was the second set of recommendations written by the mediator,</w:t>
      </w:r>
      <w:r>
        <w:rPr>
          <w:rStyle w:val="EndnoteReference"/>
          <w:sz w:val="28"/>
          <w:szCs w:val="28"/>
        </w:rPr>
        <w:endnoteReference w:id="50"/>
      </w:r>
      <w:r>
        <w:rPr>
          <w:sz w:val="28"/>
          <w:szCs w:val="28"/>
        </w:rPr>
        <w:t xml:space="preserve"> Count </w:t>
      </w:r>
      <w:proofErr w:type="spellStart"/>
      <w:r>
        <w:rPr>
          <w:sz w:val="28"/>
          <w:szCs w:val="28"/>
        </w:rPr>
        <w:t>Folke</w:t>
      </w:r>
      <w:proofErr w:type="spellEnd"/>
      <w:r>
        <w:rPr>
          <w:sz w:val="28"/>
          <w:szCs w:val="28"/>
        </w:rPr>
        <w:t xml:space="preserve"> Bernadotte, and his team, which was released 16 Sept.  Bernadotte was assassinated in Jerusalem by right-wing Jewish paramilitaries the next day.</w:t>
      </w:r>
      <w:r>
        <w:rPr>
          <w:rStyle w:val="EndnoteReference"/>
          <w:sz w:val="28"/>
          <w:szCs w:val="28"/>
        </w:rPr>
        <w:endnoteReference w:id="51"/>
      </w:r>
    </w:p>
    <w:p w14:paraId="1712CBAE" w14:textId="77777777" w:rsidR="00E13BCB" w:rsidRDefault="00E13BCB" w:rsidP="00E13BCB">
      <w:pPr>
        <w:rPr>
          <w:sz w:val="28"/>
          <w:szCs w:val="28"/>
        </w:rPr>
      </w:pPr>
    </w:p>
    <w:p w14:paraId="471CA070" w14:textId="77777777" w:rsidR="00E13BCB" w:rsidRDefault="00E13BCB" w:rsidP="00E13BCB">
      <w:pPr>
        <w:rPr>
          <w:sz w:val="28"/>
          <w:szCs w:val="28"/>
        </w:rPr>
      </w:pPr>
      <w:r>
        <w:rPr>
          <w:sz w:val="28"/>
          <w:szCs w:val="28"/>
        </w:rPr>
        <w:t>1C is a committee of the whole, meaning that all UN members send representatives to it.  It is the committee tasked with political issues, so it is understood that each nation is working for its own interests in this context.  While sovereignty can be seen as a legal issue, and it is certainly a legal concept, it is viscerally political for all nations.  Which nation has not at some point in its history struggled over sovereignty and felt the insult of being less than fully sovereign when it knew that it deserved equal treatment?  Sovereignty and independence are interlinked, and so it is always on the table in any discussion of the status of a new state or states.  That said, sovereignty was rarely discussed as a separate topic.  The main actor who explicitly raised it, twice, was Israel, who admitted that it might lose land by raising the issue but wanted it resolved.  Even when offered powers over the dispensation of some of the land, the committee demurred.</w:t>
      </w:r>
    </w:p>
    <w:p w14:paraId="3043B471" w14:textId="77777777" w:rsidR="00E13BCB" w:rsidRDefault="00E13BCB" w:rsidP="00E13BCB">
      <w:pPr>
        <w:rPr>
          <w:sz w:val="28"/>
          <w:szCs w:val="28"/>
        </w:rPr>
      </w:pPr>
    </w:p>
    <w:p w14:paraId="306E1F08" w14:textId="77777777" w:rsidR="00E13BCB" w:rsidRDefault="00E13BCB" w:rsidP="00E13BCB">
      <w:pPr>
        <w:rPr>
          <w:sz w:val="28"/>
          <w:szCs w:val="28"/>
        </w:rPr>
      </w:pPr>
      <w:r>
        <w:rPr>
          <w:sz w:val="28"/>
          <w:szCs w:val="28"/>
        </w:rPr>
        <w:t xml:space="preserve">Both of the main options under discussion, acceptance of the mediator’s report or acceptance of 181 as the structure that should underpin the settlement, had clear effects on the sovereign status of the various sections of land under discussion, and either option would have settled the matter.  The mediator’s plan generally would have given the West Bank and the Negev to Transjordan and the Western Galilee to Israel and made those international borders.  181 would have created both Israel and an Arab state of Palestine out of Mandatory Palestine.  In both cases, all the land would have been allocated into the territorial sovereignty of states.  Instead, the committee opted to leave the matter open.  They inherited an ambiguous situation from the mandate system, and they left it ambiguous and anomalous.  Their recommendations allowed the West Bank and Gaza to be the only inhabitable parts of the world devoid of sovereignty.  Moreover, they took </w:t>
      </w:r>
      <w:r>
        <w:rPr>
          <w:sz w:val="28"/>
          <w:szCs w:val="28"/>
        </w:rPr>
        <w:lastRenderedPageBreak/>
        <w:t>some of the other actions that effected the nature of sovereignty in Israel and Jordan.</w:t>
      </w:r>
    </w:p>
    <w:p w14:paraId="0BA9306E" w14:textId="77777777" w:rsidR="00E13BCB" w:rsidRDefault="00E13BCB" w:rsidP="00E13BCB">
      <w:pPr>
        <w:rPr>
          <w:sz w:val="28"/>
          <w:szCs w:val="28"/>
        </w:rPr>
      </w:pPr>
    </w:p>
    <w:p w14:paraId="74B39A1D" w14:textId="77777777" w:rsidR="00E13BCB" w:rsidRPr="00A43DD0" w:rsidRDefault="00E13BCB" w:rsidP="00E13BCB">
      <w:pPr>
        <w:rPr>
          <w:b/>
          <w:sz w:val="28"/>
          <w:szCs w:val="28"/>
        </w:rPr>
      </w:pPr>
      <w:r w:rsidRPr="00A43DD0">
        <w:rPr>
          <w:b/>
          <w:sz w:val="28"/>
          <w:szCs w:val="28"/>
        </w:rPr>
        <w:t>An Overview of the Political Interests</w:t>
      </w:r>
    </w:p>
    <w:p w14:paraId="292C468B" w14:textId="77777777" w:rsidR="00E13BCB" w:rsidRDefault="00E13BCB" w:rsidP="00E13BCB">
      <w:pPr>
        <w:rPr>
          <w:sz w:val="28"/>
          <w:szCs w:val="28"/>
        </w:rPr>
      </w:pPr>
    </w:p>
    <w:p w14:paraId="229B0DA7" w14:textId="77777777" w:rsidR="00E13BCB" w:rsidRDefault="00E13BCB" w:rsidP="00E13BCB">
      <w:pPr>
        <w:rPr>
          <w:sz w:val="28"/>
          <w:szCs w:val="28"/>
        </w:rPr>
      </w:pPr>
      <w:r>
        <w:rPr>
          <w:sz w:val="28"/>
          <w:szCs w:val="28"/>
        </w:rPr>
        <w:t xml:space="preserve">The UK was the primary force supporting the mediator’s report at these meetings.  They wanted to transfer the West Bank to Transjordan, one of their most loyal allies in the Arab world as well as give it the Negev in order to have a land bridge to Egypt, another ally, but a wavering one.  </w:t>
      </w:r>
    </w:p>
    <w:p w14:paraId="31677A43" w14:textId="77777777" w:rsidR="00E13BCB" w:rsidRDefault="00E13BCB" w:rsidP="00E13BCB">
      <w:pPr>
        <w:rPr>
          <w:sz w:val="28"/>
          <w:szCs w:val="28"/>
        </w:rPr>
      </w:pPr>
    </w:p>
    <w:p w14:paraId="69CA37D3" w14:textId="77777777" w:rsidR="00E13BCB" w:rsidRDefault="00E13BCB" w:rsidP="00E13BCB">
      <w:pPr>
        <w:rPr>
          <w:sz w:val="28"/>
          <w:szCs w:val="28"/>
        </w:rPr>
      </w:pPr>
      <w:r>
        <w:rPr>
          <w:sz w:val="28"/>
          <w:szCs w:val="28"/>
        </w:rPr>
        <w:t xml:space="preserve">The US would have liked to leave the UK in charge of controlling events in the Middle East, but already saw that the UK wasn’t able to.  Given oil and other interests there, a primary consideration was keeping the USSR from getting a foothold in the area.  To this end, the US couldn’t be seen as too close to the UK, the old colonial power, so as to leave its options open to court the new, anti-colonial nationalists rising in the Arab world.  </w:t>
      </w:r>
    </w:p>
    <w:p w14:paraId="0DCC918A" w14:textId="77777777" w:rsidR="00E13BCB" w:rsidRDefault="00E13BCB" w:rsidP="00E13BCB">
      <w:pPr>
        <w:rPr>
          <w:sz w:val="28"/>
          <w:szCs w:val="28"/>
        </w:rPr>
      </w:pPr>
    </w:p>
    <w:p w14:paraId="7BF82695" w14:textId="77777777" w:rsidR="00E13BCB" w:rsidRDefault="00E13BCB" w:rsidP="00E13BCB">
      <w:pPr>
        <w:rPr>
          <w:sz w:val="28"/>
          <w:szCs w:val="28"/>
        </w:rPr>
      </w:pPr>
      <w:r>
        <w:rPr>
          <w:sz w:val="28"/>
          <w:szCs w:val="28"/>
        </w:rPr>
        <w:t xml:space="preserve">The USSR wanted to gain influence in this part of the world, and knew that the conservative, UK-supported Arab monarchies wouldn’t be open to that.  The USSR had already successfully damaged the UK and its allies by supporting Israel with shipments of arms during the 1948 war that allowed that state to come out of the war having achieved most of its aims.  </w:t>
      </w:r>
    </w:p>
    <w:p w14:paraId="79ED1EF5" w14:textId="77777777" w:rsidR="00E13BCB" w:rsidRDefault="00E13BCB" w:rsidP="00E13BCB">
      <w:pPr>
        <w:rPr>
          <w:sz w:val="28"/>
          <w:szCs w:val="28"/>
        </w:rPr>
      </w:pPr>
    </w:p>
    <w:p w14:paraId="18C98E86" w14:textId="77777777" w:rsidR="00E13BCB" w:rsidRDefault="00E13BCB" w:rsidP="00E13BCB">
      <w:pPr>
        <w:rPr>
          <w:sz w:val="28"/>
          <w:szCs w:val="28"/>
        </w:rPr>
      </w:pPr>
      <w:r>
        <w:rPr>
          <w:sz w:val="28"/>
          <w:szCs w:val="28"/>
        </w:rPr>
        <w:t>Most of the Arab states were generally united in an anti-Hashemite alliance, to deny Transjordan any of the spoils of the war.</w:t>
      </w:r>
      <w:r>
        <w:rPr>
          <w:rStyle w:val="EndnoteReference"/>
          <w:sz w:val="28"/>
          <w:szCs w:val="28"/>
        </w:rPr>
        <w:endnoteReference w:id="52"/>
      </w:r>
      <w:r>
        <w:rPr>
          <w:sz w:val="28"/>
          <w:szCs w:val="28"/>
        </w:rPr>
        <w:t xml:space="preserve">  They refused to recognize Israel in any way, and so took a firm stand against the two options, as both recognized that state.  Transjordan wanted to be seen as a member in good standing of the Arab League, not be perceived as too close to the UK, but also keep and legitimize its hold on the West Bank, which it would soon annex.  The Palestinians were the only non-state actor at these meetings.  As they had no stable leadership with a strong claim of representation, they toed the line of their Egyptian sponsors.  </w:t>
      </w:r>
    </w:p>
    <w:p w14:paraId="076D655A" w14:textId="77777777" w:rsidR="00E13BCB" w:rsidRDefault="00E13BCB" w:rsidP="00E13BCB">
      <w:pPr>
        <w:rPr>
          <w:sz w:val="28"/>
          <w:szCs w:val="28"/>
        </w:rPr>
      </w:pPr>
      <w:r>
        <w:rPr>
          <w:sz w:val="28"/>
          <w:szCs w:val="28"/>
        </w:rPr>
        <w:t xml:space="preserve"> </w:t>
      </w:r>
    </w:p>
    <w:p w14:paraId="0AD5E9CB" w14:textId="77777777" w:rsidR="00E13BCB" w:rsidRDefault="00E13BCB" w:rsidP="00E13BCB">
      <w:pPr>
        <w:rPr>
          <w:sz w:val="28"/>
          <w:szCs w:val="28"/>
        </w:rPr>
      </w:pPr>
      <w:r>
        <w:rPr>
          <w:sz w:val="28"/>
          <w:szCs w:val="28"/>
        </w:rPr>
        <w:t xml:space="preserve">Israel was an entirely new state, with the war not yet complete, but was looking to establish itself in the international community.  It needed a settlement in order to deal with the waves of immigrants into the nation and to get its workforce, much of it in the military at that point, back to work.  Like Transjordan, it needed </w:t>
      </w:r>
      <w:r>
        <w:rPr>
          <w:sz w:val="28"/>
          <w:szCs w:val="28"/>
        </w:rPr>
        <w:lastRenderedPageBreak/>
        <w:t>to consolidate sovereignty over the land it came to control in the war, some of it beyond what was allocated in 181.</w:t>
      </w:r>
    </w:p>
    <w:p w14:paraId="4B76B7C9" w14:textId="77777777" w:rsidR="00E13BCB" w:rsidRDefault="00E13BCB" w:rsidP="00E13BCB">
      <w:pPr>
        <w:rPr>
          <w:sz w:val="28"/>
          <w:szCs w:val="28"/>
        </w:rPr>
      </w:pPr>
    </w:p>
    <w:p w14:paraId="247565D9" w14:textId="77777777" w:rsidR="00E13BCB" w:rsidRDefault="00E13BCB" w:rsidP="00E13BCB">
      <w:pPr>
        <w:rPr>
          <w:sz w:val="28"/>
          <w:szCs w:val="28"/>
        </w:rPr>
      </w:pPr>
    </w:p>
    <w:p w14:paraId="46D108C7" w14:textId="77777777" w:rsidR="00E13BCB" w:rsidRPr="00587811" w:rsidRDefault="00E13BCB" w:rsidP="00E13BCB">
      <w:pPr>
        <w:rPr>
          <w:b/>
          <w:sz w:val="28"/>
          <w:szCs w:val="28"/>
        </w:rPr>
      </w:pPr>
      <w:r w:rsidRPr="00587811">
        <w:rPr>
          <w:b/>
          <w:sz w:val="28"/>
          <w:szCs w:val="28"/>
        </w:rPr>
        <w:t>The Substance of the Meetings</w:t>
      </w:r>
    </w:p>
    <w:p w14:paraId="5C4A970E" w14:textId="77777777" w:rsidR="00E13BCB" w:rsidRDefault="00E13BCB" w:rsidP="00E13BCB">
      <w:pPr>
        <w:rPr>
          <w:sz w:val="28"/>
          <w:szCs w:val="28"/>
        </w:rPr>
      </w:pPr>
    </w:p>
    <w:p w14:paraId="3491C8FB" w14:textId="77777777" w:rsidR="00E13BCB" w:rsidRDefault="00E13BCB" w:rsidP="00E13BCB">
      <w:pPr>
        <w:rPr>
          <w:sz w:val="28"/>
          <w:szCs w:val="28"/>
        </w:rPr>
      </w:pPr>
      <w:r>
        <w:rPr>
          <w:sz w:val="28"/>
          <w:szCs w:val="28"/>
        </w:rPr>
        <w:t>The first two meetings were given over to the seating of the representatives of bodies not in the UN.  Transjordan</w:t>
      </w:r>
      <w:r>
        <w:rPr>
          <w:rStyle w:val="EndnoteReference"/>
          <w:sz w:val="28"/>
          <w:szCs w:val="28"/>
        </w:rPr>
        <w:endnoteReference w:id="53"/>
      </w:r>
      <w:r>
        <w:rPr>
          <w:sz w:val="28"/>
          <w:szCs w:val="28"/>
        </w:rPr>
        <w:t xml:space="preserve"> and Israel</w:t>
      </w:r>
      <w:r>
        <w:rPr>
          <w:rStyle w:val="EndnoteReference"/>
          <w:sz w:val="28"/>
          <w:szCs w:val="28"/>
        </w:rPr>
        <w:endnoteReference w:id="54"/>
      </w:r>
      <w:r>
        <w:rPr>
          <w:sz w:val="28"/>
          <w:szCs w:val="28"/>
        </w:rPr>
        <w:t xml:space="preserve"> proved relatively simple: they were obviously interested </w:t>
      </w:r>
      <w:proofErr w:type="gramStart"/>
      <w:r>
        <w:rPr>
          <w:sz w:val="28"/>
          <w:szCs w:val="28"/>
        </w:rPr>
        <w:t>parties, and</w:t>
      </w:r>
      <w:proofErr w:type="gramEnd"/>
      <w:r>
        <w:rPr>
          <w:sz w:val="28"/>
          <w:szCs w:val="28"/>
        </w:rPr>
        <w:t xml:space="preserve"> had the hallmarks of sovereign states.</w:t>
      </w:r>
      <w:r>
        <w:rPr>
          <w:rStyle w:val="EndnoteReference"/>
          <w:sz w:val="28"/>
          <w:szCs w:val="28"/>
        </w:rPr>
        <w:endnoteReference w:id="55"/>
      </w:r>
      <w:r>
        <w:rPr>
          <w:sz w:val="28"/>
          <w:szCs w:val="28"/>
        </w:rPr>
        <w:t xml:space="preserve">  They were both seated for this agenda item with the right to speak on it, but without votes.  Seating representatives of the Palestinian people was more problematic, as there was ambiguity over who they were representing.  The Security Council (SC) had already allowed the Arab High Command (AHC) a seat at their discussions, so the precedent was set.  However, for these meetings, the AHC wanted to come as a representative of the All-Palestine Government (APG), based at the time in Gaza, and headed by Hajj Amin al-Husseini.</w:t>
      </w:r>
      <w:r>
        <w:rPr>
          <w:rStyle w:val="EndnoteReference"/>
          <w:sz w:val="28"/>
          <w:szCs w:val="28"/>
        </w:rPr>
        <w:endnoteReference w:id="56"/>
      </w:r>
      <w:r>
        <w:rPr>
          <w:sz w:val="28"/>
          <w:szCs w:val="28"/>
        </w:rPr>
        <w:t xml:space="preserve">  In the debates that follow, it is the Soviet bloc that takes the lead in refusing them as representatives of the APG, but accepting them as representatives of the Arabs of Palestine, and it is on this basis that they are accepted.</w:t>
      </w:r>
      <w:r>
        <w:rPr>
          <w:rStyle w:val="EndnoteReference"/>
          <w:sz w:val="28"/>
          <w:szCs w:val="28"/>
        </w:rPr>
        <w:endnoteReference w:id="57"/>
      </w:r>
      <w:r>
        <w:rPr>
          <w:sz w:val="28"/>
          <w:szCs w:val="28"/>
        </w:rPr>
        <w:t xml:space="preserve">  With all the parties seated, the substance could begin.</w:t>
      </w:r>
    </w:p>
    <w:p w14:paraId="57D8174E" w14:textId="77777777" w:rsidR="00E13BCB" w:rsidRDefault="00E13BCB" w:rsidP="00E13BCB">
      <w:pPr>
        <w:rPr>
          <w:sz w:val="28"/>
          <w:szCs w:val="28"/>
        </w:rPr>
      </w:pPr>
    </w:p>
    <w:p w14:paraId="1802E82D" w14:textId="77777777" w:rsidR="00E13BCB" w:rsidRDefault="00E13BCB" w:rsidP="00E13BCB">
      <w:pPr>
        <w:rPr>
          <w:sz w:val="28"/>
          <w:szCs w:val="28"/>
        </w:rPr>
      </w:pPr>
      <w:r>
        <w:rPr>
          <w:sz w:val="28"/>
          <w:szCs w:val="28"/>
        </w:rPr>
        <w:t>Ralph Bunche, who was appointed acting mediator after Bernadotte’s murder, gave a summary of the mediator’s report,</w:t>
      </w:r>
      <w:r>
        <w:rPr>
          <w:rStyle w:val="EndnoteReference"/>
          <w:sz w:val="28"/>
          <w:szCs w:val="28"/>
        </w:rPr>
        <w:endnoteReference w:id="58"/>
      </w:r>
      <w:r>
        <w:rPr>
          <w:sz w:val="28"/>
          <w:szCs w:val="28"/>
        </w:rPr>
        <w:t xml:space="preserve"> of which, three points stand out: 1. The mediator was not constrained by previous decisions regarding the situation, and was free to come up with new solutions; 2. Peace must be imposed from the outside, as there was no grounds for compromise between the parties; 3. As neither side would accept the recommendations, it was only the respect  that all had for the UN that would be able to implement it.  In order to ensure that respect, the GA would need to “take a firm position”</w:t>
      </w:r>
      <w:r>
        <w:rPr>
          <w:rStyle w:val="EndnoteReference"/>
          <w:sz w:val="28"/>
          <w:szCs w:val="28"/>
        </w:rPr>
        <w:endnoteReference w:id="59"/>
      </w:r>
      <w:r>
        <w:rPr>
          <w:sz w:val="28"/>
          <w:szCs w:val="28"/>
        </w:rPr>
        <w:t xml:space="preserve">  It is the first of these points, that the resolution creating the mediator’s position</w:t>
      </w:r>
      <w:r>
        <w:rPr>
          <w:rStyle w:val="EndnoteReference"/>
          <w:sz w:val="28"/>
          <w:szCs w:val="28"/>
        </w:rPr>
        <w:endnoteReference w:id="60"/>
      </w:r>
      <w:r>
        <w:rPr>
          <w:sz w:val="28"/>
          <w:szCs w:val="28"/>
        </w:rPr>
        <w:t xml:space="preserve"> superseded 181, that would drive much of the discussion.</w:t>
      </w:r>
    </w:p>
    <w:p w14:paraId="4291BBD9" w14:textId="77777777" w:rsidR="00E13BCB" w:rsidRDefault="00E13BCB" w:rsidP="00E13BCB">
      <w:pPr>
        <w:rPr>
          <w:sz w:val="28"/>
          <w:szCs w:val="28"/>
        </w:rPr>
      </w:pPr>
    </w:p>
    <w:p w14:paraId="6BE041D4" w14:textId="77777777" w:rsidR="00E13BCB" w:rsidRDefault="00E13BCB" w:rsidP="00E13BCB">
      <w:pPr>
        <w:rPr>
          <w:sz w:val="28"/>
          <w:szCs w:val="28"/>
        </w:rPr>
      </w:pPr>
      <w:r>
        <w:rPr>
          <w:sz w:val="28"/>
          <w:szCs w:val="28"/>
        </w:rPr>
        <w:t>The UK had wanted to push the schedule to hold these meetings right after Bernadotte’s assassination assuming that sympathy for him would translate into support for his proposals, but a number of factors, including the Arab states’ rejection of the plan</w:t>
      </w:r>
      <w:r>
        <w:rPr>
          <w:rStyle w:val="EndnoteReference"/>
          <w:sz w:val="28"/>
          <w:szCs w:val="28"/>
        </w:rPr>
        <w:endnoteReference w:id="61"/>
      </w:r>
      <w:r>
        <w:rPr>
          <w:sz w:val="28"/>
          <w:szCs w:val="28"/>
        </w:rPr>
        <w:t xml:space="preserve"> and US elections, postponed them.  This plan advanced the UK’s interests, as they had helped to form it.</w:t>
      </w:r>
      <w:r>
        <w:rPr>
          <w:rStyle w:val="EndnoteReference"/>
          <w:sz w:val="28"/>
          <w:szCs w:val="28"/>
        </w:rPr>
        <w:endnoteReference w:id="62"/>
      </w:r>
      <w:r>
        <w:rPr>
          <w:sz w:val="28"/>
          <w:szCs w:val="28"/>
        </w:rPr>
        <w:t xml:space="preserve">  The basic statement of the UK’s </w:t>
      </w:r>
      <w:r>
        <w:rPr>
          <w:sz w:val="28"/>
          <w:szCs w:val="28"/>
        </w:rPr>
        <w:lastRenderedPageBreak/>
        <w:t>position</w:t>
      </w:r>
      <w:r>
        <w:rPr>
          <w:rStyle w:val="EndnoteReference"/>
          <w:sz w:val="28"/>
          <w:szCs w:val="28"/>
        </w:rPr>
        <w:endnoteReference w:id="63"/>
      </w:r>
      <w:r>
        <w:rPr>
          <w:sz w:val="28"/>
          <w:szCs w:val="28"/>
        </w:rPr>
        <w:t xml:space="preserve"> follows.  1. The fact that neither side will agree to the mediator’s proposals is proof of its impartiality, and thus its value.  Further, the two sides will never agree to anything, and so it will have to be imposed by the international community.  2. 181 relied on the cooperation of the sides, and this had proved an unworkable assumption.  It was also based on economic union, which would never be.  3. Therefore, a new solution had to be created to fit the new conditions, and that is what was in the report.  4. The main substance was the exchange of the Negev, which had been allocated to the Jewish state in 181, for the Western Galil, which had been given to the Arabs, but was held at this point by Israel.  While this gave Israel less land, it was a good trade for Israel, as it was a trade of desert for a more fertile area.  5.  It was unreasonable that Israel should expect to hold everything that it had been granted in 181 as well as what it had conquered.  6. The mediator’s plan was fully formed and should be accepted in its entirety.  Its success would depend on the international community’s firmness.  The UK was hoping to support an ally while not alienating the rest of its Arab clients, and thus hold on to its predominant position in the Middle East.</w:t>
      </w:r>
      <w:r>
        <w:rPr>
          <w:rStyle w:val="EndnoteReference"/>
          <w:sz w:val="28"/>
          <w:szCs w:val="28"/>
        </w:rPr>
        <w:endnoteReference w:id="64"/>
      </w:r>
      <w:r>
        <w:rPr>
          <w:sz w:val="28"/>
          <w:szCs w:val="28"/>
        </w:rPr>
        <w:t xml:space="preserve">    </w:t>
      </w:r>
    </w:p>
    <w:p w14:paraId="154A6598" w14:textId="77777777" w:rsidR="00E13BCB" w:rsidRDefault="00E13BCB" w:rsidP="00E13BCB">
      <w:pPr>
        <w:rPr>
          <w:sz w:val="28"/>
          <w:szCs w:val="28"/>
        </w:rPr>
      </w:pPr>
    </w:p>
    <w:p w14:paraId="62282A32" w14:textId="77777777" w:rsidR="00E13BCB" w:rsidRDefault="00E13BCB" w:rsidP="00E13BCB">
      <w:pPr>
        <w:rPr>
          <w:sz w:val="28"/>
          <w:szCs w:val="28"/>
        </w:rPr>
      </w:pPr>
      <w:r>
        <w:rPr>
          <w:sz w:val="28"/>
          <w:szCs w:val="28"/>
        </w:rPr>
        <w:t>The US gave its basic position</w:t>
      </w:r>
      <w:r>
        <w:rPr>
          <w:rStyle w:val="EndnoteReference"/>
          <w:sz w:val="28"/>
          <w:szCs w:val="28"/>
        </w:rPr>
        <w:endnoteReference w:id="65"/>
      </w:r>
      <w:r>
        <w:rPr>
          <w:sz w:val="28"/>
          <w:szCs w:val="28"/>
        </w:rPr>
        <w:t xml:space="preserve"> after the UK.  It attempted to walk a line close to the UK, affirming that there is much that is right in the mediator’s report, but saying that 181 must have continuing relevance, and that it was preferable that the parties decide on the settlement themselves, so that there would be no need to impose a settlement or borders by the international community. Further, any change of borders must happen with the acceptance of the </w:t>
      </w:r>
      <w:proofErr w:type="gramStart"/>
      <w:r>
        <w:rPr>
          <w:sz w:val="28"/>
          <w:szCs w:val="28"/>
        </w:rPr>
        <w:t>parties, and</w:t>
      </w:r>
      <w:proofErr w:type="gramEnd"/>
      <w:r>
        <w:rPr>
          <w:sz w:val="28"/>
          <w:szCs w:val="28"/>
        </w:rPr>
        <w:t xml:space="preserve"> can’t be imposed on them by outside bodies.  The US believed that the Palestine Conciliation Commission (PCC), soon to begin meeting, would be able to take up were the mediator’s office left off, and create a settlement in negotiations between the parties.</w:t>
      </w:r>
    </w:p>
    <w:p w14:paraId="39E79FEC" w14:textId="77777777" w:rsidR="00E13BCB" w:rsidRDefault="00E13BCB" w:rsidP="00E13BCB">
      <w:pPr>
        <w:rPr>
          <w:sz w:val="28"/>
          <w:szCs w:val="28"/>
        </w:rPr>
      </w:pPr>
    </w:p>
    <w:p w14:paraId="05EEFFD2" w14:textId="77777777" w:rsidR="00E13BCB" w:rsidRDefault="00E13BCB" w:rsidP="00E13BCB">
      <w:pPr>
        <w:rPr>
          <w:sz w:val="28"/>
          <w:szCs w:val="28"/>
        </w:rPr>
      </w:pPr>
      <w:r>
        <w:rPr>
          <w:sz w:val="28"/>
          <w:szCs w:val="28"/>
        </w:rPr>
        <w:t>The Soviet bloc position was the most straightforward on issues of sovereignty and statehood: 181 had it right, there must be partition between Israel and a Palestinian Arab state, the mediator was only serving UK interests and following his report would surely lead to more conflict.</w:t>
      </w:r>
      <w:r>
        <w:rPr>
          <w:rStyle w:val="EndnoteReference"/>
          <w:sz w:val="28"/>
          <w:szCs w:val="28"/>
        </w:rPr>
        <w:endnoteReference w:id="66"/>
      </w:r>
      <w:r>
        <w:rPr>
          <w:sz w:val="28"/>
          <w:szCs w:val="28"/>
        </w:rPr>
        <w:t xml:space="preserve">  The creation of an independent Palestinian state would further the interests of peace, as Transjordan was only a stooge of the UK and US.  If there was to be a settlement, it could only be on the basis of 181, as that had been a consensus vote of two-thirds of the UN and so had the broadest possible support and chance of success.  </w:t>
      </w:r>
    </w:p>
    <w:p w14:paraId="3CD8E206" w14:textId="77777777" w:rsidR="00E13BCB" w:rsidRDefault="00E13BCB" w:rsidP="00E13BCB">
      <w:pPr>
        <w:rPr>
          <w:sz w:val="28"/>
          <w:szCs w:val="28"/>
        </w:rPr>
      </w:pPr>
    </w:p>
    <w:p w14:paraId="6763C5A3" w14:textId="77777777" w:rsidR="00E13BCB" w:rsidRDefault="00E13BCB" w:rsidP="00E13BCB">
      <w:pPr>
        <w:rPr>
          <w:sz w:val="28"/>
          <w:szCs w:val="28"/>
        </w:rPr>
      </w:pPr>
      <w:r>
        <w:rPr>
          <w:sz w:val="28"/>
          <w:szCs w:val="28"/>
        </w:rPr>
        <w:lastRenderedPageBreak/>
        <w:t>The Arab states were unified in their position: Palestine was indivisible and Arab, and therefore both 181 and the mediator’s report were unacceptable.</w:t>
      </w:r>
      <w:r>
        <w:rPr>
          <w:rStyle w:val="EndnoteReference"/>
          <w:sz w:val="28"/>
          <w:szCs w:val="28"/>
        </w:rPr>
        <w:endnoteReference w:id="67"/>
      </w:r>
      <w:r>
        <w:rPr>
          <w:sz w:val="28"/>
          <w:szCs w:val="28"/>
        </w:rPr>
        <w:t xml:space="preserve">  Transjordan only spoke once, and cleanly toed the line: “In conclusion, </w:t>
      </w:r>
      <w:proofErr w:type="spellStart"/>
      <w:r>
        <w:rPr>
          <w:sz w:val="28"/>
          <w:szCs w:val="28"/>
        </w:rPr>
        <w:t>Mr</w:t>
      </w:r>
      <w:proofErr w:type="spellEnd"/>
      <w:r>
        <w:rPr>
          <w:sz w:val="28"/>
          <w:szCs w:val="28"/>
        </w:rPr>
        <w:t xml:space="preserve"> Haidar categorically denied that any differences existed between the Kingdom of Transjordan and the other Arab states”</w:t>
      </w:r>
      <w:r>
        <w:rPr>
          <w:rStyle w:val="EndnoteReference"/>
          <w:sz w:val="28"/>
          <w:szCs w:val="28"/>
        </w:rPr>
        <w:endnoteReference w:id="68"/>
      </w:r>
      <w:r>
        <w:rPr>
          <w:sz w:val="28"/>
          <w:szCs w:val="28"/>
        </w:rPr>
        <w:t xml:space="preserve">  They made no arguments as to why the West Bank and its people might be better within Transjordan, though arguments of language, culture, history, religion and more were all available to them.   The AHC also spoke, and again, it was well within the constraints of this unified voice.</w:t>
      </w:r>
      <w:r>
        <w:rPr>
          <w:rStyle w:val="EndnoteReference"/>
          <w:sz w:val="28"/>
          <w:szCs w:val="28"/>
        </w:rPr>
        <w:endnoteReference w:id="69"/>
      </w:r>
      <w:r>
        <w:rPr>
          <w:sz w:val="28"/>
          <w:szCs w:val="28"/>
        </w:rPr>
        <w:t xml:space="preserve">  As a group, they also laid out a vision for the internal structure of the state of Palestine modeled on the Swiss canton federal system.</w:t>
      </w:r>
      <w:r>
        <w:rPr>
          <w:rStyle w:val="EndnoteReference"/>
          <w:sz w:val="28"/>
          <w:szCs w:val="28"/>
        </w:rPr>
        <w:endnoteReference w:id="70"/>
      </w:r>
      <w:r>
        <w:rPr>
          <w:sz w:val="28"/>
          <w:szCs w:val="28"/>
        </w:rPr>
        <w:t xml:space="preserve">  To regularize citizenship in Palestine, they called for all recent Jewish immigrants to leave, though the definition of recent is left ambiguous.</w:t>
      </w:r>
      <w:r>
        <w:rPr>
          <w:rStyle w:val="EndnoteReference"/>
          <w:sz w:val="28"/>
          <w:szCs w:val="28"/>
        </w:rPr>
        <w:endnoteReference w:id="71"/>
      </w:r>
      <w:r>
        <w:rPr>
          <w:sz w:val="28"/>
          <w:szCs w:val="28"/>
        </w:rPr>
        <w:t xml:space="preserve">  Further, all Palestine refugees must be allowed to return, not only to their houses and lands, but to their nation, that is, not to Israel, but to Arab Palestine, as a precondition to negotiations.</w:t>
      </w:r>
      <w:r>
        <w:rPr>
          <w:rStyle w:val="EndnoteReference"/>
          <w:sz w:val="28"/>
          <w:szCs w:val="28"/>
        </w:rPr>
        <w:endnoteReference w:id="72"/>
      </w:r>
    </w:p>
    <w:p w14:paraId="79A1E6A9" w14:textId="77777777" w:rsidR="00E13BCB" w:rsidRDefault="00E13BCB" w:rsidP="00E13BCB">
      <w:pPr>
        <w:rPr>
          <w:sz w:val="28"/>
          <w:szCs w:val="28"/>
        </w:rPr>
      </w:pPr>
    </w:p>
    <w:p w14:paraId="531AE98A" w14:textId="77777777" w:rsidR="00E13BCB" w:rsidRDefault="00E13BCB" w:rsidP="00E13BCB">
      <w:pPr>
        <w:rPr>
          <w:sz w:val="28"/>
          <w:szCs w:val="28"/>
        </w:rPr>
      </w:pPr>
      <w:r>
        <w:rPr>
          <w:sz w:val="28"/>
          <w:szCs w:val="28"/>
        </w:rPr>
        <w:t>Israel was the state which most clearly raised the issue of sovereignty, and even offered the committee a chance to allocate some of the territory, though it stood to lose land.  They accepted that the areas that they captured in the war that were beyond the partition lines in 181 were not fully theirs and could be disposed of by the UN, which had written and passed 181.</w:t>
      </w:r>
      <w:r>
        <w:rPr>
          <w:rStyle w:val="EndnoteReference"/>
          <w:sz w:val="28"/>
          <w:szCs w:val="28"/>
        </w:rPr>
        <w:endnoteReference w:id="73"/>
      </w:r>
      <w:r>
        <w:rPr>
          <w:sz w:val="28"/>
          <w:szCs w:val="28"/>
        </w:rPr>
        <w:t xml:space="preserve">  What they stood to gain, of course, was clarity in territorial sovereignty; if the committee and the UN were to approve whatever borders came out of negotiations, then Israel would have internationally recognized borders.  </w:t>
      </w:r>
    </w:p>
    <w:p w14:paraId="4A7E2E9F" w14:textId="77777777" w:rsidR="00E13BCB" w:rsidRDefault="00E13BCB" w:rsidP="00E13BCB">
      <w:pPr>
        <w:rPr>
          <w:sz w:val="28"/>
          <w:szCs w:val="28"/>
        </w:rPr>
      </w:pPr>
    </w:p>
    <w:p w14:paraId="65CF5B48" w14:textId="77777777" w:rsidR="00E13BCB" w:rsidRDefault="00E13BCB" w:rsidP="00E13BCB">
      <w:pPr>
        <w:rPr>
          <w:sz w:val="28"/>
          <w:szCs w:val="28"/>
        </w:rPr>
      </w:pPr>
      <w:r>
        <w:rPr>
          <w:sz w:val="28"/>
          <w:szCs w:val="28"/>
        </w:rPr>
        <w:t>Sovereignty was a key to Israel’s rejection of the mediator’s plan: while 181 was passed during a period when the international community could reasonably claim the right to determine what might happen to a mandated territory, that had changed.  Israel was now a sovereign state, and the international community had no right to change its borders, as they were a matter of domestic jurisdiction, covered by Article 2/7 of the UN Charter.</w:t>
      </w:r>
      <w:r>
        <w:rPr>
          <w:rStyle w:val="EndnoteReference"/>
          <w:sz w:val="28"/>
          <w:szCs w:val="28"/>
        </w:rPr>
        <w:endnoteReference w:id="74"/>
      </w:r>
      <w:r>
        <w:rPr>
          <w:sz w:val="28"/>
          <w:szCs w:val="28"/>
        </w:rPr>
        <w:t xml:space="preserve">  Abba </w:t>
      </w:r>
      <w:proofErr w:type="spellStart"/>
      <w:r>
        <w:rPr>
          <w:sz w:val="28"/>
          <w:szCs w:val="28"/>
        </w:rPr>
        <w:t>Eban</w:t>
      </w:r>
      <w:proofErr w:type="spellEnd"/>
      <w:r>
        <w:rPr>
          <w:sz w:val="28"/>
          <w:szCs w:val="28"/>
        </w:rPr>
        <w:t>, Israel’s delegate to the UN,  made the point clearly: “</w:t>
      </w:r>
      <w:r w:rsidRPr="00F55DCE">
        <w:rPr>
          <w:sz w:val="28"/>
          <w:szCs w:val="28"/>
        </w:rPr>
        <w:t>To detach the Negeb from Israel</w:t>
      </w:r>
      <w:r>
        <w:rPr>
          <w:sz w:val="28"/>
          <w:szCs w:val="28"/>
        </w:rPr>
        <w:t xml:space="preserve"> </w:t>
      </w:r>
      <w:r w:rsidRPr="00F55DCE">
        <w:rPr>
          <w:sz w:val="28"/>
          <w:szCs w:val="28"/>
        </w:rPr>
        <w:t>now would mean to curtail the territory of an</w:t>
      </w:r>
      <w:r>
        <w:rPr>
          <w:sz w:val="28"/>
          <w:szCs w:val="28"/>
        </w:rPr>
        <w:t xml:space="preserve"> </w:t>
      </w:r>
      <w:r w:rsidRPr="00F55DCE">
        <w:rPr>
          <w:sz w:val="28"/>
          <w:szCs w:val="28"/>
        </w:rPr>
        <w:t xml:space="preserve">existing sovereign State </w:t>
      </w:r>
      <w:r>
        <w:rPr>
          <w:sz w:val="28"/>
          <w:szCs w:val="28"/>
        </w:rPr>
        <w:t>w</w:t>
      </w:r>
      <w:r w:rsidRPr="00F55DCE">
        <w:rPr>
          <w:sz w:val="28"/>
          <w:szCs w:val="28"/>
        </w:rPr>
        <w:t>hich had never yet</w:t>
      </w:r>
      <w:r>
        <w:rPr>
          <w:sz w:val="28"/>
          <w:szCs w:val="28"/>
        </w:rPr>
        <w:t xml:space="preserve"> </w:t>
      </w:r>
      <w:r w:rsidRPr="00F55DCE">
        <w:rPr>
          <w:sz w:val="28"/>
          <w:szCs w:val="28"/>
        </w:rPr>
        <w:t>been tried by an international organization.</w:t>
      </w:r>
      <w:r>
        <w:rPr>
          <w:sz w:val="28"/>
          <w:szCs w:val="28"/>
        </w:rPr>
        <w:t>”</w:t>
      </w:r>
      <w:r>
        <w:rPr>
          <w:rStyle w:val="EndnoteReference"/>
          <w:sz w:val="28"/>
          <w:szCs w:val="28"/>
        </w:rPr>
        <w:endnoteReference w:id="75"/>
      </w:r>
      <w:r>
        <w:rPr>
          <w:sz w:val="28"/>
          <w:szCs w:val="28"/>
        </w:rPr>
        <w:t xml:space="preserve">  This was also the essence of his point that the US position held an inner contradiction: it said that Israel was a sovereign state that couldn’t be forced to give up territory without its consent and at the same time supported the UK’s proposal to detach the Negeb from Israel and give it to Transjordan.</w:t>
      </w:r>
      <w:r>
        <w:rPr>
          <w:rStyle w:val="EndnoteReference"/>
          <w:sz w:val="28"/>
          <w:szCs w:val="28"/>
        </w:rPr>
        <w:endnoteReference w:id="76"/>
      </w:r>
      <w:r>
        <w:rPr>
          <w:sz w:val="28"/>
          <w:szCs w:val="28"/>
        </w:rPr>
        <w:t xml:space="preserve">  A number of other states supported Israel on this </w:t>
      </w:r>
      <w:r>
        <w:rPr>
          <w:sz w:val="28"/>
          <w:szCs w:val="28"/>
        </w:rPr>
        <w:lastRenderedPageBreak/>
        <w:t>fundamental point, mostly of the Soviet bloc, but also some small states that might be expected to more carefully guard the principal.</w:t>
      </w:r>
      <w:r>
        <w:rPr>
          <w:rStyle w:val="EndnoteReference"/>
          <w:sz w:val="28"/>
          <w:szCs w:val="28"/>
        </w:rPr>
        <w:endnoteReference w:id="77"/>
      </w:r>
      <w:r>
        <w:rPr>
          <w:sz w:val="28"/>
          <w:szCs w:val="28"/>
        </w:rPr>
        <w:t xml:space="preserve">  If Israel were truly a sovereign state, the UK simply couldn’t propose that territorial changes be imposed.</w:t>
      </w:r>
      <w:r>
        <w:rPr>
          <w:rStyle w:val="EndnoteReference"/>
          <w:sz w:val="28"/>
          <w:szCs w:val="28"/>
        </w:rPr>
        <w:endnoteReference w:id="78"/>
      </w:r>
      <w:r>
        <w:rPr>
          <w:sz w:val="28"/>
          <w:szCs w:val="28"/>
        </w:rPr>
        <w:t xml:space="preserve">  </w:t>
      </w:r>
    </w:p>
    <w:p w14:paraId="5EEDCAF9" w14:textId="77777777" w:rsidR="00E13BCB" w:rsidRDefault="00E13BCB" w:rsidP="00E13BCB">
      <w:pPr>
        <w:rPr>
          <w:sz w:val="28"/>
          <w:szCs w:val="28"/>
        </w:rPr>
      </w:pPr>
    </w:p>
    <w:p w14:paraId="639088EC" w14:textId="77777777" w:rsidR="00E13BCB" w:rsidRDefault="00E13BCB" w:rsidP="00E13BCB">
      <w:pPr>
        <w:rPr>
          <w:sz w:val="28"/>
          <w:szCs w:val="28"/>
        </w:rPr>
      </w:pPr>
      <w:r>
        <w:rPr>
          <w:sz w:val="28"/>
          <w:szCs w:val="28"/>
        </w:rPr>
        <w:t>The mediator noted in his report “… a Jewish state in Palestine, fully sovereign, is actually in existence…” which seems a clear statement, and ought to imply equal treatment with other states.  He even acknowledges the UN’s role in this broadly: “The Jewish State, established under the cloak of UN authority…”</w:t>
      </w:r>
      <w:r>
        <w:rPr>
          <w:rStyle w:val="EndnoteReference"/>
          <w:sz w:val="28"/>
          <w:szCs w:val="28"/>
        </w:rPr>
        <w:endnoteReference w:id="79"/>
      </w:r>
      <w:r>
        <w:rPr>
          <w:sz w:val="28"/>
          <w:szCs w:val="28"/>
        </w:rPr>
        <w:t xml:space="preserve">  That said, the mediator, in his report, and Bunche, as acting mediator, undermined this notion.  Bunche was clear: </w:t>
      </w:r>
      <w:r w:rsidRPr="00024E85">
        <w:rPr>
          <w:sz w:val="28"/>
          <w:szCs w:val="28"/>
        </w:rPr>
        <w:t>“He [Bernadotte] had not been able to accept the Arab contention that the Jewish state should not exist, any more than he had been able to accept the Jewish view that the territory provided for the Jewish state in the GA’s recommendation of 29 November was beyond the jurisdiction of the Mediator because it was now the territory of a sovereign state.”</w:t>
      </w:r>
      <w:r>
        <w:rPr>
          <w:rStyle w:val="EndnoteReference"/>
          <w:sz w:val="28"/>
          <w:szCs w:val="28"/>
        </w:rPr>
        <w:endnoteReference w:id="80"/>
      </w:r>
      <w:r>
        <w:rPr>
          <w:sz w:val="28"/>
          <w:szCs w:val="28"/>
        </w:rPr>
        <w:t xml:space="preserve">  There is simply no way to square this notion with conceptions of sovereignty at the time.</w:t>
      </w:r>
      <w:r>
        <w:rPr>
          <w:rStyle w:val="EndnoteReference"/>
          <w:sz w:val="28"/>
          <w:szCs w:val="28"/>
        </w:rPr>
        <w:endnoteReference w:id="81"/>
      </w:r>
      <w:r>
        <w:rPr>
          <w:sz w:val="28"/>
          <w:szCs w:val="28"/>
        </w:rPr>
        <w:t xml:space="preserve">  The very notion that the mediator had a clear jurisdiction is already odd, as the next sentence is “</w:t>
      </w:r>
      <w:r w:rsidRPr="0026217B">
        <w:rPr>
          <w:sz w:val="28"/>
          <w:szCs w:val="28"/>
        </w:rPr>
        <w:t>Count Bernadotte did not have</w:t>
      </w:r>
      <w:r>
        <w:rPr>
          <w:sz w:val="28"/>
          <w:szCs w:val="28"/>
        </w:rPr>
        <w:t xml:space="preserve"> </w:t>
      </w:r>
      <w:r w:rsidRPr="0026217B">
        <w:rPr>
          <w:sz w:val="28"/>
          <w:szCs w:val="28"/>
        </w:rPr>
        <w:t>t</w:t>
      </w:r>
      <w:r>
        <w:rPr>
          <w:sz w:val="28"/>
          <w:szCs w:val="28"/>
        </w:rPr>
        <w:t>h</w:t>
      </w:r>
      <w:r w:rsidRPr="0026217B">
        <w:rPr>
          <w:sz w:val="28"/>
          <w:szCs w:val="28"/>
        </w:rPr>
        <w:t>e authority to impose any solution on any</w:t>
      </w:r>
      <w:r>
        <w:rPr>
          <w:sz w:val="28"/>
          <w:szCs w:val="28"/>
        </w:rPr>
        <w:t xml:space="preserve"> </w:t>
      </w:r>
      <w:r w:rsidRPr="0026217B">
        <w:rPr>
          <w:sz w:val="28"/>
          <w:szCs w:val="28"/>
        </w:rPr>
        <w:t>party ; nor did he ever try to do so.</w:t>
      </w:r>
      <w:r>
        <w:rPr>
          <w:sz w:val="28"/>
          <w:szCs w:val="28"/>
        </w:rPr>
        <w:t xml:space="preserve">”.  He was clear at various points that he was only making suggestions, based on his experience, as to how the GA might proceed with the solution.  </w:t>
      </w:r>
    </w:p>
    <w:p w14:paraId="3AE1B71A" w14:textId="77777777" w:rsidR="00E13BCB" w:rsidRDefault="00E13BCB" w:rsidP="00E13BCB">
      <w:pPr>
        <w:rPr>
          <w:sz w:val="28"/>
          <w:szCs w:val="28"/>
        </w:rPr>
      </w:pPr>
    </w:p>
    <w:p w14:paraId="003A3378" w14:textId="77777777" w:rsidR="00E13BCB" w:rsidRDefault="00E13BCB" w:rsidP="00E13BCB">
      <w:pPr>
        <w:rPr>
          <w:sz w:val="28"/>
          <w:szCs w:val="28"/>
        </w:rPr>
      </w:pPr>
      <w:r>
        <w:rPr>
          <w:sz w:val="28"/>
          <w:szCs w:val="28"/>
        </w:rPr>
        <w:t xml:space="preserve">One legal scholar was willing to try to find a logic which would support ignoring Israel’s statehood.  Constantine </w:t>
      </w:r>
      <w:proofErr w:type="spellStart"/>
      <w:r>
        <w:rPr>
          <w:sz w:val="28"/>
          <w:szCs w:val="28"/>
        </w:rPr>
        <w:t>Rackauskas</w:t>
      </w:r>
      <w:proofErr w:type="spellEnd"/>
      <w:r>
        <w:rPr>
          <w:sz w:val="28"/>
          <w:szCs w:val="28"/>
        </w:rPr>
        <w:t xml:space="preserve"> wrote at the time to justify the internationalization of Jerusalem, but his reasoning is more general.</w:t>
      </w:r>
      <w:r>
        <w:rPr>
          <w:rStyle w:val="EndnoteReference"/>
          <w:sz w:val="28"/>
          <w:szCs w:val="28"/>
        </w:rPr>
        <w:endnoteReference w:id="82"/>
      </w:r>
      <w:r>
        <w:rPr>
          <w:sz w:val="28"/>
          <w:szCs w:val="28"/>
        </w:rPr>
        <w:t xml:space="preserve">   After the usual list of possibilities for where sovereignty might lay, he settles on the UN and the people, but because the people are divided, the UN must act for them. He then follows: “After May 15, 1948, when the British government relinquished the mandate, the UN legally became the full master of all affairs…”</w:t>
      </w:r>
      <w:r>
        <w:rPr>
          <w:rStyle w:val="EndnoteReference"/>
          <w:sz w:val="28"/>
          <w:szCs w:val="28"/>
        </w:rPr>
        <w:endnoteReference w:id="83"/>
      </w:r>
      <w:r>
        <w:rPr>
          <w:sz w:val="28"/>
          <w:szCs w:val="28"/>
        </w:rPr>
        <w:t xml:space="preserve">  While at other places, he recognized that there was a state and government in Israel, here he excluded it entirely.  Implicitly, Bernadotte would have been using this notion.  It is indicative of how far </w:t>
      </w:r>
      <w:proofErr w:type="spellStart"/>
      <w:r>
        <w:rPr>
          <w:sz w:val="28"/>
          <w:szCs w:val="28"/>
        </w:rPr>
        <w:t>Rackauskas</w:t>
      </w:r>
      <w:proofErr w:type="spellEnd"/>
      <w:r>
        <w:rPr>
          <w:sz w:val="28"/>
          <w:szCs w:val="28"/>
        </w:rPr>
        <w:t xml:space="preserve"> might be out of the mainstream that in the next paragraph, he asserted that the UNGA was making binding international law and not recommendations in trust territories, which, in 1950, he still considered the area of mandatory Palestine.  </w:t>
      </w:r>
    </w:p>
    <w:p w14:paraId="53D53FF6" w14:textId="77777777" w:rsidR="00E13BCB" w:rsidRDefault="00E13BCB" w:rsidP="00E13BCB">
      <w:pPr>
        <w:rPr>
          <w:sz w:val="28"/>
          <w:szCs w:val="28"/>
        </w:rPr>
      </w:pPr>
    </w:p>
    <w:p w14:paraId="37039124" w14:textId="77777777" w:rsidR="00E13BCB" w:rsidRDefault="00E13BCB" w:rsidP="00E13BCB">
      <w:pPr>
        <w:rPr>
          <w:sz w:val="28"/>
          <w:szCs w:val="28"/>
        </w:rPr>
      </w:pPr>
      <w:r>
        <w:rPr>
          <w:sz w:val="28"/>
          <w:szCs w:val="28"/>
        </w:rPr>
        <w:lastRenderedPageBreak/>
        <w:t xml:space="preserve">Control over immigration was an aspect of sovereignty that came up, and from the first, Bernadotte accepted that the latter implied the former: “It is entirely natural that the Jewish position, insistent on a fully sovereign Jewish State, should reject any suggestion of restriction upon the authority of that State to determine its own immigration policy.”  That said, he was willing to make immigration subject to international oversight: </w:t>
      </w:r>
      <w:r w:rsidRPr="00C301C0">
        <w:rPr>
          <w:sz w:val="28"/>
          <w:szCs w:val="28"/>
        </w:rPr>
        <w:t>“Even within the limits of full sovereignty the question of immigration is related to the a</w:t>
      </w:r>
      <w:r>
        <w:rPr>
          <w:sz w:val="28"/>
          <w:szCs w:val="28"/>
        </w:rPr>
        <w:t>b</w:t>
      </w:r>
      <w:r w:rsidRPr="00C301C0">
        <w:rPr>
          <w:sz w:val="28"/>
          <w:szCs w:val="28"/>
        </w:rPr>
        <w:t>sorptive capacity of the country.  Palestine from this point of view has become the object of international concern.”</w:t>
      </w:r>
      <w:r>
        <w:rPr>
          <w:rStyle w:val="EndnoteReference"/>
          <w:sz w:val="28"/>
          <w:szCs w:val="28"/>
        </w:rPr>
        <w:endnoteReference w:id="84"/>
      </w:r>
      <w:r>
        <w:rPr>
          <w:sz w:val="28"/>
          <w:szCs w:val="28"/>
        </w:rPr>
        <w:t xml:space="preserve">   China  accepted this internationalization of an issue of domestic jurisdiction: “M</w:t>
      </w:r>
      <w:r w:rsidRPr="003F35AD">
        <w:rPr>
          <w:sz w:val="28"/>
          <w:szCs w:val="28"/>
        </w:rPr>
        <w:t xml:space="preserve">r. Liu </w:t>
      </w:r>
      <w:proofErr w:type="spellStart"/>
      <w:r w:rsidRPr="003F35AD">
        <w:rPr>
          <w:sz w:val="28"/>
          <w:szCs w:val="28"/>
        </w:rPr>
        <w:t>Chieh</w:t>
      </w:r>
      <w:proofErr w:type="spellEnd"/>
      <w:r w:rsidRPr="003F35AD">
        <w:rPr>
          <w:sz w:val="28"/>
          <w:szCs w:val="28"/>
        </w:rPr>
        <w:t xml:space="preserve"> considered that the issue of</w:t>
      </w:r>
      <w:r>
        <w:rPr>
          <w:sz w:val="28"/>
          <w:szCs w:val="28"/>
        </w:rPr>
        <w:t xml:space="preserve"> </w:t>
      </w:r>
      <w:r w:rsidRPr="003F35AD">
        <w:rPr>
          <w:sz w:val="28"/>
          <w:szCs w:val="28"/>
        </w:rPr>
        <w:t>Jewish immigration could hardly remain a matter</w:t>
      </w:r>
      <w:r>
        <w:rPr>
          <w:sz w:val="28"/>
          <w:szCs w:val="28"/>
        </w:rPr>
        <w:t xml:space="preserve"> </w:t>
      </w:r>
      <w:r w:rsidRPr="003F35AD">
        <w:rPr>
          <w:sz w:val="28"/>
          <w:szCs w:val="28"/>
        </w:rPr>
        <w:t>of concern exclusively to the Jews.</w:t>
      </w:r>
      <w:r>
        <w:rPr>
          <w:sz w:val="28"/>
          <w:szCs w:val="28"/>
        </w:rPr>
        <w:t>”, though Sweden accepted that Israel  could take care of this on its own.</w:t>
      </w:r>
      <w:r>
        <w:rPr>
          <w:rStyle w:val="EndnoteReference"/>
          <w:sz w:val="28"/>
          <w:szCs w:val="28"/>
        </w:rPr>
        <w:endnoteReference w:id="85"/>
      </w:r>
      <w:r>
        <w:rPr>
          <w:sz w:val="28"/>
          <w:szCs w:val="28"/>
        </w:rPr>
        <w:t xml:space="preserve"> </w:t>
      </w:r>
      <w:r w:rsidRPr="00C301C0">
        <w:rPr>
          <w:sz w:val="28"/>
          <w:szCs w:val="28"/>
        </w:rPr>
        <w:t xml:space="preserve"> </w:t>
      </w:r>
      <w:r>
        <w:rPr>
          <w:sz w:val="28"/>
          <w:szCs w:val="28"/>
        </w:rPr>
        <w:t xml:space="preserve"> Israel, in its correspondence with Bernadotte, was clear that this was an issue covered by sovereignty and couldn’t accept infringement.</w:t>
      </w:r>
      <w:r>
        <w:rPr>
          <w:rStyle w:val="EndnoteReference"/>
          <w:sz w:val="28"/>
          <w:szCs w:val="28"/>
        </w:rPr>
        <w:endnoteReference w:id="86"/>
      </w:r>
      <w:r>
        <w:rPr>
          <w:sz w:val="28"/>
          <w:szCs w:val="28"/>
        </w:rPr>
        <w:t xml:space="preserve">  In the end, Bernadotte didn’t include international oversight of immigration in his second set of recommendations,</w:t>
      </w:r>
      <w:r>
        <w:rPr>
          <w:rStyle w:val="EndnoteReference"/>
          <w:sz w:val="28"/>
          <w:szCs w:val="28"/>
        </w:rPr>
        <w:endnoteReference w:id="87"/>
      </w:r>
      <w:r>
        <w:rPr>
          <w:sz w:val="28"/>
          <w:szCs w:val="28"/>
        </w:rPr>
        <w:t xml:space="preserve"> though it none-the-less came up in committee discussions.   </w:t>
      </w:r>
    </w:p>
    <w:p w14:paraId="1EE3F2F6" w14:textId="77777777" w:rsidR="00E13BCB" w:rsidRDefault="00E13BCB" w:rsidP="00E13BCB">
      <w:pPr>
        <w:rPr>
          <w:sz w:val="28"/>
          <w:szCs w:val="28"/>
        </w:rPr>
      </w:pPr>
    </w:p>
    <w:p w14:paraId="29EC9BE3" w14:textId="77777777" w:rsidR="00E13BCB" w:rsidRDefault="00E13BCB" w:rsidP="00E13BCB">
      <w:pPr>
        <w:rPr>
          <w:sz w:val="28"/>
          <w:szCs w:val="28"/>
        </w:rPr>
      </w:pPr>
      <w:r>
        <w:rPr>
          <w:sz w:val="28"/>
          <w:szCs w:val="28"/>
        </w:rPr>
        <w:t>Immigration was not the only issue raised in the mediator’s report that infringed on Israel’s ability to decide who would be a citizen.  The topic of the Palestinian refugees formed a large piece of the report,</w:t>
      </w:r>
      <w:r>
        <w:rPr>
          <w:rStyle w:val="EndnoteReference"/>
          <w:sz w:val="28"/>
          <w:szCs w:val="28"/>
        </w:rPr>
        <w:endnoteReference w:id="88"/>
      </w:r>
      <w:r>
        <w:rPr>
          <w:sz w:val="28"/>
          <w:szCs w:val="28"/>
        </w:rPr>
        <w:t xml:space="preserve"> and Bernadotte was clear that this was a primary focus for him.  By emphasizing the right of return and the promise of repatriation, the mediator in essence made the refugees, then scattered across the bordering nations, extraterritorial citizens of Israel, even if Israel didn’t want them.  By calling it a </w:t>
      </w:r>
      <w:proofErr w:type="gramStart"/>
      <w:r>
        <w:rPr>
          <w:sz w:val="28"/>
          <w:szCs w:val="28"/>
        </w:rPr>
        <w:t>right, and</w:t>
      </w:r>
      <w:proofErr w:type="gramEnd"/>
      <w:r>
        <w:rPr>
          <w:sz w:val="28"/>
          <w:szCs w:val="28"/>
        </w:rPr>
        <w:t xml:space="preserve"> accepting that it ought to be fulfilled before   negotiations for a settlement began, he removed it from a political settlement.</w:t>
      </w:r>
    </w:p>
    <w:p w14:paraId="7525291B" w14:textId="77777777" w:rsidR="00E13BCB" w:rsidRDefault="00E13BCB" w:rsidP="00E13BCB">
      <w:pPr>
        <w:rPr>
          <w:sz w:val="28"/>
          <w:szCs w:val="28"/>
        </w:rPr>
      </w:pPr>
    </w:p>
    <w:p w14:paraId="2DA6E240" w14:textId="77777777" w:rsidR="00E13BCB" w:rsidRDefault="00E13BCB" w:rsidP="00E13BCB">
      <w:pPr>
        <w:rPr>
          <w:sz w:val="28"/>
          <w:szCs w:val="28"/>
        </w:rPr>
      </w:pPr>
      <w:r>
        <w:rPr>
          <w:sz w:val="28"/>
          <w:szCs w:val="28"/>
        </w:rPr>
        <w:t>Israel supported, as part of their support of 181, the creation of a Palestinian state</w:t>
      </w:r>
      <w:r>
        <w:rPr>
          <w:rStyle w:val="EndnoteReference"/>
          <w:sz w:val="28"/>
          <w:szCs w:val="28"/>
        </w:rPr>
        <w:endnoteReference w:id="89"/>
      </w:r>
      <w:r>
        <w:rPr>
          <w:sz w:val="28"/>
          <w:szCs w:val="28"/>
        </w:rPr>
        <w:t xml:space="preserve"> next to it, and even claimed that they would be more willing to negotiate over land if one were created than if Transjordan took over the West Bank.</w:t>
      </w:r>
      <w:r>
        <w:rPr>
          <w:rStyle w:val="EndnoteReference"/>
          <w:sz w:val="28"/>
          <w:szCs w:val="28"/>
        </w:rPr>
        <w:endnoteReference w:id="90"/>
      </w:r>
      <w:r>
        <w:rPr>
          <w:sz w:val="28"/>
          <w:szCs w:val="28"/>
        </w:rPr>
        <w:t xml:space="preserve">  Because an independent Arab Palestinian state was part of 181, those nations who supported 181 as the primary controlling document tended to speak for it, and those nations who felt the mediator had superseded 181 spoke for his plan, which precluded such a state.  It was rare that those states actually mentioned a Palestinian state, as they probably didn’t want to call attention to the fact that they were turning the land over to Transjordan</w:t>
      </w:r>
      <w:r>
        <w:rPr>
          <w:rStyle w:val="EndnoteReference"/>
          <w:sz w:val="28"/>
          <w:szCs w:val="28"/>
        </w:rPr>
        <w:endnoteReference w:id="91"/>
      </w:r>
      <w:r>
        <w:rPr>
          <w:sz w:val="28"/>
          <w:szCs w:val="28"/>
        </w:rPr>
        <w:t xml:space="preserve"> or simply leaving it without sovereignty.  Besides Israel, those who supported that state were the Soviet bloc</w:t>
      </w:r>
      <w:r>
        <w:rPr>
          <w:rStyle w:val="EndnoteReference"/>
          <w:sz w:val="28"/>
          <w:szCs w:val="28"/>
        </w:rPr>
        <w:endnoteReference w:id="92"/>
      </w:r>
      <w:r>
        <w:rPr>
          <w:sz w:val="28"/>
          <w:szCs w:val="28"/>
        </w:rPr>
        <w:t xml:space="preserve"> and a number of others, mostly the same small nations that we have seen </w:t>
      </w:r>
      <w:r>
        <w:rPr>
          <w:sz w:val="28"/>
          <w:szCs w:val="28"/>
        </w:rPr>
        <w:lastRenderedPageBreak/>
        <w:t>who might have been jealous of their sovereignty.</w:t>
      </w:r>
      <w:r>
        <w:rPr>
          <w:rStyle w:val="EndnoteReference"/>
          <w:sz w:val="28"/>
          <w:szCs w:val="28"/>
        </w:rPr>
        <w:endnoteReference w:id="93"/>
      </w:r>
      <w:r>
        <w:rPr>
          <w:sz w:val="28"/>
          <w:szCs w:val="28"/>
        </w:rPr>
        <w:t xml:space="preserve">  Transjordan is the only Arab nation to call attention to the idea of an independent Arab Palestinian nation alongside Israel, and it was to say that Israel supported the idea because that state would be easier prey.</w:t>
      </w:r>
      <w:r>
        <w:rPr>
          <w:rStyle w:val="EndnoteReference"/>
          <w:sz w:val="28"/>
          <w:szCs w:val="28"/>
        </w:rPr>
        <w:endnoteReference w:id="94"/>
      </w:r>
    </w:p>
    <w:p w14:paraId="76428B63" w14:textId="77777777" w:rsidR="00E13BCB" w:rsidRDefault="00E13BCB" w:rsidP="00E13BCB">
      <w:pPr>
        <w:rPr>
          <w:sz w:val="28"/>
          <w:szCs w:val="28"/>
        </w:rPr>
      </w:pPr>
    </w:p>
    <w:p w14:paraId="71EA4282" w14:textId="77777777" w:rsidR="00E13BCB" w:rsidRDefault="00E13BCB" w:rsidP="00E13BCB">
      <w:pPr>
        <w:rPr>
          <w:sz w:val="28"/>
          <w:szCs w:val="28"/>
        </w:rPr>
      </w:pPr>
      <w:r>
        <w:rPr>
          <w:sz w:val="28"/>
          <w:szCs w:val="28"/>
        </w:rPr>
        <w:t>The mediator’s report also contained other infringements to Israeli sovereignty.  Point 4. (c) makes Haifa a free port, as well as the oil refineries there.  While free ports might have been occasionally created in the 1920s, when such innovations were in favor, by the late 1940s, this should have simply been seen as a potential source of conflict between avowed enemies.  He also suggested that the airport at Lydda be a free airport, but apparently only for Jerusalem and Arab states.  As with 181, he includes minority rights in both states; this was again a feature of LN-era new nations, but not in the UN era.</w:t>
      </w:r>
      <w:r>
        <w:rPr>
          <w:rStyle w:val="EndnoteReference"/>
          <w:sz w:val="28"/>
          <w:szCs w:val="28"/>
        </w:rPr>
        <w:endnoteReference w:id="95"/>
      </w:r>
      <w:r>
        <w:rPr>
          <w:sz w:val="28"/>
          <w:szCs w:val="28"/>
        </w:rPr>
        <w:t xml:space="preserve">   Israel’s response was simply to note that it would be willing to consider all sorts of adjustments and agreements with its neighbors in the context of bilateral negotiations between sovereign states.  Because this paper can only cover issues in those areas that were granted Israel in the partition and those they captured in the war, I don’t mention the various infringements in the mediator’s report regarding the treatment of Jerusalem, which the international community never offered to Israel and was to be internationalized in 181, the mediator’s second report, and 194 (III).</w:t>
      </w:r>
      <w:r>
        <w:rPr>
          <w:rStyle w:val="EndnoteReference"/>
          <w:sz w:val="28"/>
          <w:szCs w:val="28"/>
        </w:rPr>
        <w:endnoteReference w:id="96"/>
      </w:r>
      <w:r>
        <w:rPr>
          <w:sz w:val="28"/>
          <w:szCs w:val="28"/>
        </w:rPr>
        <w:t xml:space="preserve"> </w:t>
      </w:r>
    </w:p>
    <w:p w14:paraId="430664A5" w14:textId="77777777" w:rsidR="00E13BCB" w:rsidRDefault="00E13BCB" w:rsidP="00E13BCB">
      <w:pPr>
        <w:rPr>
          <w:sz w:val="28"/>
          <w:szCs w:val="28"/>
        </w:rPr>
      </w:pPr>
    </w:p>
    <w:p w14:paraId="674FEBAD" w14:textId="77777777" w:rsidR="00E13BCB" w:rsidRDefault="00E13BCB" w:rsidP="00E13BCB">
      <w:pPr>
        <w:rPr>
          <w:sz w:val="28"/>
          <w:szCs w:val="28"/>
        </w:rPr>
      </w:pPr>
      <w:r>
        <w:rPr>
          <w:sz w:val="28"/>
          <w:szCs w:val="28"/>
        </w:rPr>
        <w:t xml:space="preserve">By the time that the voting on various amendments and resolutions began, meeting 223, 2 Dec 1948, the Jericho Conference was into its second day.  At that conference, representatives of the Palestinian community of the West </w:t>
      </w:r>
      <w:proofErr w:type="gramStart"/>
      <w:r>
        <w:rPr>
          <w:sz w:val="28"/>
          <w:szCs w:val="28"/>
        </w:rPr>
        <w:t>Bank,  mostly</w:t>
      </w:r>
      <w:proofErr w:type="gramEnd"/>
      <w:r>
        <w:rPr>
          <w:sz w:val="28"/>
          <w:szCs w:val="28"/>
        </w:rPr>
        <w:t xml:space="preserve"> handpicked, passed resolutions calling for it to be annexed by Transjordan.</w:t>
      </w:r>
      <w:r>
        <w:rPr>
          <w:rStyle w:val="EndnoteReference"/>
          <w:sz w:val="28"/>
          <w:szCs w:val="28"/>
        </w:rPr>
        <w:endnoteReference w:id="97"/>
      </w:r>
      <w:r>
        <w:rPr>
          <w:sz w:val="28"/>
          <w:szCs w:val="28"/>
        </w:rPr>
        <w:t xml:space="preserve">  Though overtaken by events, 1C took votes in the final 5 meetings, 223-28.  A significantly modified UK resolution passed, but the paragraph giving the West Bank to Transjordan had long since been defeated.</w:t>
      </w:r>
      <w:r>
        <w:rPr>
          <w:rStyle w:val="EndnoteReference"/>
          <w:sz w:val="28"/>
          <w:szCs w:val="28"/>
        </w:rPr>
        <w:endnoteReference w:id="98"/>
      </w:r>
      <w:r>
        <w:rPr>
          <w:sz w:val="28"/>
          <w:szCs w:val="28"/>
        </w:rPr>
        <w:t xml:space="preserve">   It is the final product of 1C which became the basis for UNGA resolution 194, which set the terms of a possible settlement, as well as created the Palestine Conciliation Commission.  In the instructions for that committee, the UN gave an indication of how important it thought the issue of sovereignty was: there are three points regarding Jerusalem, one regarding refugees, and none that mention the issues of borders or sovereignty.  It must be assumed that final borders and sovereignty over the various parts of mandatory Palestine are contained in </w:t>
      </w:r>
      <w:proofErr w:type="spellStart"/>
      <w:r>
        <w:rPr>
          <w:sz w:val="28"/>
          <w:szCs w:val="28"/>
        </w:rPr>
        <w:t>pt</w:t>
      </w:r>
      <w:proofErr w:type="spellEnd"/>
      <w:r>
        <w:rPr>
          <w:sz w:val="28"/>
          <w:szCs w:val="28"/>
        </w:rPr>
        <w:t xml:space="preserve"> 6: “…to assist the Governments and authorities concerned to achieve a final settlement of all questions outstanding between them…”</w:t>
      </w:r>
      <w:r>
        <w:rPr>
          <w:rStyle w:val="EndnoteReference"/>
          <w:sz w:val="28"/>
          <w:szCs w:val="28"/>
        </w:rPr>
        <w:endnoteReference w:id="99"/>
      </w:r>
    </w:p>
    <w:p w14:paraId="00112E9B" w14:textId="77777777" w:rsidR="00E13BCB" w:rsidRDefault="00E13BCB" w:rsidP="00E13BCB">
      <w:pPr>
        <w:rPr>
          <w:sz w:val="28"/>
          <w:szCs w:val="28"/>
        </w:rPr>
      </w:pPr>
    </w:p>
    <w:p w14:paraId="2E35B339" w14:textId="77777777" w:rsidR="00E13BCB" w:rsidRDefault="00E13BCB" w:rsidP="00E13BCB">
      <w:pPr>
        <w:rPr>
          <w:sz w:val="28"/>
          <w:szCs w:val="28"/>
        </w:rPr>
      </w:pPr>
      <w:r>
        <w:rPr>
          <w:sz w:val="28"/>
          <w:szCs w:val="28"/>
        </w:rPr>
        <w:t xml:space="preserve">Bernadotte was clear in the report: </w:t>
      </w:r>
      <w:r>
        <w:rPr>
          <w:color w:val="000000" w:themeColor="text1"/>
          <w:sz w:val="28"/>
          <w:szCs w:val="28"/>
        </w:rPr>
        <w:t>“International responsibility should be expressed where desirable and necessary in the form of international guarantees, as a means of allying existing fears, and particularly with regard to boundaries and human rights.”</w:t>
      </w:r>
      <w:r w:rsidRPr="00D61811">
        <w:rPr>
          <w:color w:val="000000" w:themeColor="text1"/>
          <w:sz w:val="28"/>
          <w:szCs w:val="28"/>
        </w:rPr>
        <w:t xml:space="preserve"> </w:t>
      </w:r>
      <w:r>
        <w:rPr>
          <w:rStyle w:val="EndnoteReference"/>
          <w:color w:val="000000" w:themeColor="text1"/>
          <w:sz w:val="28"/>
          <w:szCs w:val="28"/>
        </w:rPr>
        <w:endnoteReference w:id="100"/>
      </w:r>
      <w:r w:rsidRPr="00D61811">
        <w:rPr>
          <w:color w:val="000000" w:themeColor="text1"/>
          <w:sz w:val="28"/>
          <w:szCs w:val="28"/>
        </w:rPr>
        <w:t xml:space="preserve"> </w:t>
      </w:r>
      <w:r>
        <w:rPr>
          <w:color w:val="000000" w:themeColor="text1"/>
          <w:sz w:val="28"/>
          <w:szCs w:val="28"/>
        </w:rPr>
        <w:t>Bunche says the same thing: “The UN could usefully contribute to a peaceful settlement of the dispute by guaranteeing the boundaries of Palestine</w:t>
      </w:r>
      <w:r>
        <w:rPr>
          <w:rStyle w:val="EndnoteReference"/>
          <w:color w:val="000000" w:themeColor="text1"/>
          <w:sz w:val="28"/>
          <w:szCs w:val="28"/>
        </w:rPr>
        <w:endnoteReference w:id="101"/>
      </w:r>
      <w:r>
        <w:rPr>
          <w:color w:val="000000" w:themeColor="text1"/>
          <w:sz w:val="28"/>
          <w:szCs w:val="28"/>
        </w:rPr>
        <w:t xml:space="preserve"> once they had been determined.”  and “…for the GA to reach firm conclusions on the outstanding basic issues in the conflict…”</w:t>
      </w:r>
      <w:r>
        <w:rPr>
          <w:rStyle w:val="EndnoteReference"/>
          <w:color w:val="000000" w:themeColor="text1"/>
          <w:sz w:val="28"/>
          <w:szCs w:val="28"/>
        </w:rPr>
        <w:endnoteReference w:id="102"/>
      </w:r>
      <w:r>
        <w:rPr>
          <w:color w:val="000000" w:themeColor="text1"/>
          <w:sz w:val="28"/>
          <w:szCs w:val="28"/>
        </w:rPr>
        <w:t xml:space="preserve">  Plenty of other nations called for clarity to facilitate a settlement, but the committee left the situation entirely ambiguous as to territorial sovereignty.  Even the Iraqi delegate, who certainly never recognized Israel, said it clearly: “That argument [Israel exists] did not settle all the difficulties, because the frontiers were still not established.”  The Swedish delegate noted the costs of ambiguity in the vote after the transfer of the West Bank to Transjordan was defeated: his country would like to vote for a resolution calling for the removal of foreign armies, but because he doesn’t know what lands this might cover, he would vote against it.</w:t>
      </w:r>
      <w:r>
        <w:rPr>
          <w:rStyle w:val="EndnoteReference"/>
          <w:color w:val="000000" w:themeColor="text1"/>
          <w:sz w:val="28"/>
          <w:szCs w:val="28"/>
        </w:rPr>
        <w:endnoteReference w:id="103"/>
      </w:r>
      <w:r>
        <w:rPr>
          <w:color w:val="000000" w:themeColor="text1"/>
          <w:sz w:val="28"/>
          <w:szCs w:val="28"/>
        </w:rPr>
        <w:t xml:space="preserve">  Indeed, the situation made it not only hard to know where foreign armies might be, but given the fact that the land had no sovereignty, it was impossible to know if any army might be foreign there.</w:t>
      </w:r>
      <w:r>
        <w:rPr>
          <w:rStyle w:val="EndnoteReference"/>
          <w:color w:val="000000" w:themeColor="text1"/>
          <w:sz w:val="28"/>
          <w:szCs w:val="28"/>
        </w:rPr>
        <w:endnoteReference w:id="104"/>
      </w:r>
      <w:r>
        <w:rPr>
          <w:color w:val="000000" w:themeColor="text1"/>
          <w:sz w:val="28"/>
          <w:szCs w:val="28"/>
        </w:rPr>
        <w:t xml:space="preserve">  The UN inherited a situation of ambiguous sovereignty from the LN and then allowed it to continue.  Both Israel and Transjordan treated the lands as if they owned them, but didn’t, and there were costs to be paid.  As Bernadotte, Bunche and others predicted, they would be costs to the possibility of a settlement.</w:t>
      </w:r>
      <w:r>
        <w:rPr>
          <w:sz w:val="28"/>
          <w:szCs w:val="28"/>
        </w:rPr>
        <w:t xml:space="preserve"> </w:t>
      </w:r>
    </w:p>
    <w:p w14:paraId="5D294D0D" w14:textId="77777777" w:rsidR="00E13BCB" w:rsidRDefault="00E13BCB" w:rsidP="00E13BCB">
      <w:pPr>
        <w:rPr>
          <w:sz w:val="28"/>
          <w:szCs w:val="28"/>
        </w:rPr>
      </w:pPr>
    </w:p>
    <w:p w14:paraId="147DCDCF" w14:textId="77777777" w:rsidR="00E13BCB" w:rsidRDefault="00E13BCB" w:rsidP="00E13BCB">
      <w:pPr>
        <w:rPr>
          <w:sz w:val="28"/>
          <w:szCs w:val="28"/>
        </w:rPr>
      </w:pPr>
      <w:r>
        <w:rPr>
          <w:sz w:val="28"/>
          <w:szCs w:val="28"/>
        </w:rPr>
        <w:t xml:space="preserve">Soon after the work of 1C, the negotiations of the various armistices began.  Work began on the Israel-Egypt agreements </w:t>
      </w:r>
      <w:proofErr w:type="gramStart"/>
      <w:r>
        <w:rPr>
          <w:sz w:val="28"/>
          <w:szCs w:val="28"/>
        </w:rPr>
        <w:t>12 Jan 1949, and</w:t>
      </w:r>
      <w:proofErr w:type="gramEnd"/>
      <w:r>
        <w:rPr>
          <w:sz w:val="28"/>
          <w:szCs w:val="28"/>
        </w:rPr>
        <w:t xml:space="preserve"> concluded with the signing of the Israel-Syria agreement 20 July.  In that time, Israel signed armistices with all four of the neighboring states and brought the period of open hostilities between States to a close.  However, all of the armistices were entirely clear that they said nothing in any way about possible permanent settlements, and so in no way effect the problems of sovereignty. </w:t>
      </w:r>
    </w:p>
    <w:p w14:paraId="394D28C2" w14:textId="77777777" w:rsidR="00E13BCB" w:rsidRDefault="00E13BCB" w:rsidP="00E13BCB">
      <w:pPr>
        <w:rPr>
          <w:sz w:val="28"/>
          <w:szCs w:val="28"/>
        </w:rPr>
      </w:pPr>
    </w:p>
    <w:p w14:paraId="60217AE8" w14:textId="77777777" w:rsidR="00E13BCB" w:rsidRPr="0061566D" w:rsidRDefault="00E13BCB" w:rsidP="00E13BCB">
      <w:pPr>
        <w:rPr>
          <w:b/>
          <w:sz w:val="28"/>
          <w:szCs w:val="28"/>
        </w:rPr>
      </w:pPr>
      <w:r w:rsidRPr="0061566D">
        <w:rPr>
          <w:b/>
          <w:sz w:val="28"/>
          <w:szCs w:val="28"/>
        </w:rPr>
        <w:t xml:space="preserve"> What solutions were there?</w:t>
      </w:r>
    </w:p>
    <w:p w14:paraId="7F750DB7" w14:textId="77777777" w:rsidR="00E13BCB" w:rsidRDefault="00E13BCB" w:rsidP="00E13BCB"/>
    <w:p w14:paraId="489C13DA" w14:textId="77777777" w:rsidR="00E13BCB" w:rsidRDefault="00E13BCB" w:rsidP="00E13BCB">
      <w:pPr>
        <w:rPr>
          <w:sz w:val="28"/>
          <w:szCs w:val="28"/>
        </w:rPr>
      </w:pPr>
      <w:r>
        <w:rPr>
          <w:sz w:val="28"/>
          <w:szCs w:val="28"/>
        </w:rPr>
        <w:t xml:space="preserve">Strategies were available to the UN which would have allowed the problems of sovereignty in the area of mandatory Palestine to be regularized.  </w:t>
      </w:r>
    </w:p>
    <w:p w14:paraId="26B25B1A" w14:textId="77777777" w:rsidR="00E13BCB" w:rsidRDefault="00E13BCB" w:rsidP="00E13BCB">
      <w:pPr>
        <w:pStyle w:val="ListParagraph"/>
        <w:numPr>
          <w:ilvl w:val="0"/>
          <w:numId w:val="1"/>
        </w:numPr>
        <w:rPr>
          <w:sz w:val="28"/>
          <w:szCs w:val="28"/>
        </w:rPr>
      </w:pPr>
      <w:r>
        <w:rPr>
          <w:sz w:val="28"/>
          <w:szCs w:val="28"/>
        </w:rPr>
        <w:t>When the UK gave the mandate to the GA, they could have moved it to the trusteeship council.</w:t>
      </w:r>
      <w:r>
        <w:rPr>
          <w:rStyle w:val="EndnoteReference"/>
          <w:sz w:val="28"/>
          <w:szCs w:val="28"/>
        </w:rPr>
        <w:endnoteReference w:id="105"/>
      </w:r>
      <w:r>
        <w:rPr>
          <w:sz w:val="28"/>
          <w:szCs w:val="28"/>
        </w:rPr>
        <w:t xml:space="preserve">  This might have given them a bit of time, as it would </w:t>
      </w:r>
      <w:r>
        <w:rPr>
          <w:sz w:val="28"/>
          <w:szCs w:val="28"/>
        </w:rPr>
        <w:lastRenderedPageBreak/>
        <w:t>have kept it in the international structure.  There would have been mandate holders, with certain worked out rights and responsibilities as well as a sense of international community control over the areas.  They could also have given a mandate over the West Bank to Jordan, and Gaza to Egypt, after Israel was declared.</w:t>
      </w:r>
    </w:p>
    <w:p w14:paraId="235DC42C" w14:textId="77777777" w:rsidR="00E13BCB" w:rsidRPr="00427C18" w:rsidRDefault="00E13BCB" w:rsidP="00E13BCB">
      <w:pPr>
        <w:pStyle w:val="ListParagraph"/>
        <w:numPr>
          <w:ilvl w:val="0"/>
          <w:numId w:val="1"/>
        </w:numPr>
        <w:rPr>
          <w:sz w:val="28"/>
          <w:szCs w:val="28"/>
        </w:rPr>
      </w:pPr>
      <w:r>
        <w:rPr>
          <w:sz w:val="28"/>
          <w:szCs w:val="28"/>
        </w:rPr>
        <w:t xml:space="preserve">They could have followed </w:t>
      </w:r>
      <w:proofErr w:type="gramStart"/>
      <w:r>
        <w:rPr>
          <w:sz w:val="28"/>
          <w:szCs w:val="28"/>
        </w:rPr>
        <w:t>181, and</w:t>
      </w:r>
      <w:proofErr w:type="gramEnd"/>
      <w:r>
        <w:rPr>
          <w:sz w:val="28"/>
          <w:szCs w:val="28"/>
        </w:rPr>
        <w:t xml:space="preserve"> recognized the creation of 2 states after they were declared.</w:t>
      </w:r>
    </w:p>
    <w:p w14:paraId="5F3B89A6" w14:textId="77777777" w:rsidR="00E13BCB" w:rsidRDefault="00E13BCB" w:rsidP="00E13BCB">
      <w:pPr>
        <w:pStyle w:val="ListParagraph"/>
        <w:numPr>
          <w:ilvl w:val="0"/>
          <w:numId w:val="1"/>
        </w:numPr>
        <w:rPr>
          <w:sz w:val="28"/>
          <w:szCs w:val="28"/>
        </w:rPr>
      </w:pPr>
      <w:r>
        <w:rPr>
          <w:sz w:val="28"/>
          <w:szCs w:val="28"/>
        </w:rPr>
        <w:t>They could have accepted the mediator’s recommendations, which would have given Arab Palestine to Jordan.</w:t>
      </w:r>
    </w:p>
    <w:p w14:paraId="0A1C91F4" w14:textId="77777777" w:rsidR="00E13BCB" w:rsidRDefault="00E13BCB" w:rsidP="00E13BCB">
      <w:pPr>
        <w:pStyle w:val="ListParagraph"/>
        <w:numPr>
          <w:ilvl w:val="0"/>
          <w:numId w:val="1"/>
        </w:numPr>
        <w:rPr>
          <w:sz w:val="28"/>
          <w:szCs w:val="28"/>
        </w:rPr>
      </w:pPr>
      <w:r w:rsidRPr="00E9632B">
        <w:rPr>
          <w:sz w:val="28"/>
          <w:szCs w:val="28"/>
        </w:rPr>
        <w:t xml:space="preserve">They could have accepted Jordan’s declaration of annexation in 1950 and put a stamp of </w:t>
      </w:r>
      <w:r>
        <w:rPr>
          <w:sz w:val="28"/>
          <w:szCs w:val="28"/>
        </w:rPr>
        <w:t>international community</w:t>
      </w:r>
      <w:r w:rsidRPr="00E9632B">
        <w:rPr>
          <w:sz w:val="28"/>
          <w:szCs w:val="28"/>
        </w:rPr>
        <w:t xml:space="preserve"> approval on it, which would have at least settled the </w:t>
      </w:r>
      <w:r>
        <w:rPr>
          <w:sz w:val="28"/>
          <w:szCs w:val="28"/>
        </w:rPr>
        <w:t>West Bank.</w:t>
      </w:r>
      <w:r>
        <w:rPr>
          <w:rStyle w:val="EndnoteReference"/>
          <w:sz w:val="28"/>
          <w:szCs w:val="28"/>
        </w:rPr>
        <w:endnoteReference w:id="106"/>
      </w:r>
      <w:r>
        <w:rPr>
          <w:sz w:val="28"/>
          <w:szCs w:val="28"/>
        </w:rPr>
        <w:t xml:space="preserve"> </w:t>
      </w:r>
    </w:p>
    <w:p w14:paraId="0517FFA8" w14:textId="77777777" w:rsidR="00E13BCB" w:rsidRPr="00E9632B" w:rsidRDefault="00E13BCB" w:rsidP="00E13BCB">
      <w:pPr>
        <w:rPr>
          <w:sz w:val="28"/>
          <w:szCs w:val="28"/>
        </w:rPr>
      </w:pPr>
    </w:p>
    <w:p w14:paraId="04B7847C" w14:textId="77777777" w:rsidR="00E13BCB" w:rsidRPr="00E9632B" w:rsidRDefault="00E13BCB" w:rsidP="00E13BCB">
      <w:pPr>
        <w:rPr>
          <w:sz w:val="28"/>
          <w:szCs w:val="28"/>
        </w:rPr>
      </w:pPr>
      <w:r w:rsidRPr="00E9632B">
        <w:rPr>
          <w:sz w:val="28"/>
          <w:szCs w:val="28"/>
        </w:rPr>
        <w:t xml:space="preserve">Probably, none of these options was politically possible, but that has rarely stopped the UN in attempting solutions.  Each had its advocates and detractors, but in a political setting like 1C, none of these could have gotten a majority.  In any case, </w:t>
      </w:r>
      <w:r>
        <w:rPr>
          <w:sz w:val="28"/>
          <w:szCs w:val="28"/>
        </w:rPr>
        <w:t xml:space="preserve">many </w:t>
      </w:r>
      <w:r w:rsidRPr="00E9632B">
        <w:rPr>
          <w:sz w:val="28"/>
          <w:szCs w:val="28"/>
        </w:rPr>
        <w:t xml:space="preserve">of them ignore the facts on the ground: armies were holding territory, and the UN would have had to have organized some sort of force to </w:t>
      </w:r>
      <w:r>
        <w:rPr>
          <w:sz w:val="28"/>
          <w:szCs w:val="28"/>
        </w:rPr>
        <w:t>e</w:t>
      </w:r>
      <w:r w:rsidRPr="00E9632B">
        <w:rPr>
          <w:sz w:val="28"/>
          <w:szCs w:val="28"/>
        </w:rPr>
        <w:t>nforce its rulings,</w:t>
      </w:r>
      <w:r>
        <w:rPr>
          <w:rStyle w:val="EndnoteReference"/>
          <w:sz w:val="28"/>
          <w:szCs w:val="28"/>
        </w:rPr>
        <w:endnoteReference w:id="107"/>
      </w:r>
      <w:r w:rsidRPr="00E9632B">
        <w:rPr>
          <w:sz w:val="28"/>
          <w:szCs w:val="28"/>
        </w:rPr>
        <w:t xml:space="preserve"> not to mention to </w:t>
      </w:r>
      <w:r>
        <w:rPr>
          <w:sz w:val="28"/>
          <w:szCs w:val="28"/>
        </w:rPr>
        <w:t>expel</w:t>
      </w:r>
      <w:r w:rsidRPr="00E9632B">
        <w:rPr>
          <w:sz w:val="28"/>
          <w:szCs w:val="28"/>
        </w:rPr>
        <w:t xml:space="preserve"> nations </w:t>
      </w:r>
      <w:r>
        <w:rPr>
          <w:sz w:val="28"/>
          <w:szCs w:val="28"/>
        </w:rPr>
        <w:t xml:space="preserve">from </w:t>
      </w:r>
      <w:r w:rsidRPr="00E9632B">
        <w:rPr>
          <w:sz w:val="28"/>
          <w:szCs w:val="28"/>
        </w:rPr>
        <w:t xml:space="preserve">land </w:t>
      </w:r>
      <w:r>
        <w:rPr>
          <w:sz w:val="28"/>
          <w:szCs w:val="28"/>
        </w:rPr>
        <w:t xml:space="preserve">they were </w:t>
      </w:r>
      <w:r w:rsidRPr="00E9632B">
        <w:rPr>
          <w:sz w:val="28"/>
          <w:szCs w:val="28"/>
        </w:rPr>
        <w:t xml:space="preserve">holding.  This is something that the UN wasn’t </w:t>
      </w:r>
      <w:r>
        <w:rPr>
          <w:sz w:val="28"/>
          <w:szCs w:val="28"/>
        </w:rPr>
        <w:t xml:space="preserve">yet </w:t>
      </w:r>
      <w:r w:rsidRPr="00E9632B">
        <w:rPr>
          <w:sz w:val="28"/>
          <w:szCs w:val="28"/>
        </w:rPr>
        <w:t>prepared to do, though in 2 years, they would in Korea.</w:t>
      </w:r>
      <w:r>
        <w:rPr>
          <w:rStyle w:val="EndnoteReference"/>
          <w:sz w:val="28"/>
          <w:szCs w:val="28"/>
        </w:rPr>
        <w:endnoteReference w:id="108"/>
      </w:r>
      <w:r w:rsidRPr="00E9632B">
        <w:rPr>
          <w:sz w:val="28"/>
          <w:szCs w:val="28"/>
        </w:rPr>
        <w:t xml:space="preserve">  </w:t>
      </w:r>
      <w:r>
        <w:rPr>
          <w:sz w:val="28"/>
          <w:szCs w:val="28"/>
        </w:rPr>
        <w:t>T</w:t>
      </w:r>
      <w:r w:rsidRPr="00E9632B">
        <w:rPr>
          <w:sz w:val="28"/>
          <w:szCs w:val="28"/>
        </w:rPr>
        <w:t xml:space="preserve">he UN was willing to talk, and to suggest, and to create commissions and treaty observers, but not to enforce. </w:t>
      </w:r>
    </w:p>
    <w:p w14:paraId="0F624238" w14:textId="77777777" w:rsidR="00E13BCB" w:rsidRDefault="00E13BCB" w:rsidP="00E13BCB">
      <w:pPr>
        <w:ind w:left="360"/>
        <w:rPr>
          <w:sz w:val="28"/>
          <w:szCs w:val="28"/>
        </w:rPr>
      </w:pPr>
    </w:p>
    <w:p w14:paraId="47932886" w14:textId="77777777" w:rsidR="00E13BCB" w:rsidRDefault="00E13BCB" w:rsidP="00E13BCB">
      <w:pPr>
        <w:rPr>
          <w:sz w:val="28"/>
          <w:szCs w:val="28"/>
        </w:rPr>
      </w:pPr>
      <w:r>
        <w:rPr>
          <w:sz w:val="28"/>
          <w:szCs w:val="28"/>
        </w:rPr>
        <w:t>It is interesting to imagine what might have happened if Egypt and Jordan had been given trusteeship over their pieces of mandatory Palestine.  At that point, the areas would have been ethnically homogenous and politically mature, and they might have quickly formed political institutions.  That they didn’t develop such institutions earlier was important, as it was a marker of readiness for independence, and in the cases of Iraq, Syria, Lebanon and Transjordan, led to their independence from mandates.</w:t>
      </w:r>
      <w:r>
        <w:rPr>
          <w:rStyle w:val="EndnoteReference"/>
          <w:sz w:val="28"/>
          <w:szCs w:val="28"/>
        </w:rPr>
        <w:endnoteReference w:id="109"/>
      </w:r>
      <w:r>
        <w:rPr>
          <w:sz w:val="28"/>
          <w:szCs w:val="28"/>
        </w:rPr>
        <w:t xml:space="preserve">  Palestinian Arabs refused to develop them in an act of rejection of the terms of the mandate, as any that they would have formed would have had to accept the mandate.  With Israel a separate state, the ‘Jewish national home’ part of the mandate would have been fulfilled, and then a Palestinian state could have been formed out of the trusteeships.  Of course, this is precisely what almost all the actors besides the Soviet bloc, Israel, and a few others, were working against for their own reasons.  </w:t>
      </w:r>
    </w:p>
    <w:p w14:paraId="73866FC6" w14:textId="77777777" w:rsidR="00E13BCB" w:rsidRDefault="00E13BCB" w:rsidP="00E13BCB">
      <w:pPr>
        <w:rPr>
          <w:sz w:val="28"/>
          <w:szCs w:val="28"/>
        </w:rPr>
      </w:pPr>
    </w:p>
    <w:p w14:paraId="077AE9A2" w14:textId="77777777" w:rsidR="00E13BCB" w:rsidRPr="003C56F4" w:rsidRDefault="00E13BCB" w:rsidP="00E13BCB">
      <w:pPr>
        <w:rPr>
          <w:b/>
          <w:sz w:val="28"/>
          <w:szCs w:val="28"/>
        </w:rPr>
      </w:pPr>
      <w:r w:rsidRPr="003C56F4">
        <w:rPr>
          <w:b/>
          <w:sz w:val="28"/>
          <w:szCs w:val="28"/>
        </w:rPr>
        <w:lastRenderedPageBreak/>
        <w:t xml:space="preserve"> Other Committees </w:t>
      </w:r>
      <w:r>
        <w:rPr>
          <w:b/>
          <w:sz w:val="28"/>
          <w:szCs w:val="28"/>
        </w:rPr>
        <w:t xml:space="preserve">Approach </w:t>
      </w:r>
      <w:r w:rsidRPr="003C56F4">
        <w:rPr>
          <w:b/>
          <w:sz w:val="28"/>
          <w:szCs w:val="28"/>
        </w:rPr>
        <w:t>the Problem?</w:t>
      </w:r>
    </w:p>
    <w:p w14:paraId="11619225" w14:textId="77777777" w:rsidR="00E13BCB" w:rsidRPr="00A909CC" w:rsidRDefault="00E13BCB" w:rsidP="00E13BCB">
      <w:pPr>
        <w:rPr>
          <w:sz w:val="28"/>
          <w:szCs w:val="28"/>
        </w:rPr>
      </w:pPr>
    </w:p>
    <w:p w14:paraId="673041F2" w14:textId="77777777" w:rsidR="00E13BCB" w:rsidRPr="00A909CC" w:rsidRDefault="00E13BCB" w:rsidP="00E13BCB">
      <w:pPr>
        <w:rPr>
          <w:sz w:val="28"/>
          <w:szCs w:val="28"/>
        </w:rPr>
      </w:pPr>
      <w:r w:rsidRPr="00A909CC">
        <w:rPr>
          <w:sz w:val="28"/>
          <w:szCs w:val="28"/>
        </w:rPr>
        <w:t xml:space="preserve">Other committees might have tried to regularize sovereignty in </w:t>
      </w:r>
      <w:r>
        <w:rPr>
          <w:sz w:val="28"/>
          <w:szCs w:val="28"/>
        </w:rPr>
        <w:t xml:space="preserve">Arab </w:t>
      </w:r>
      <w:r w:rsidRPr="00A909CC">
        <w:rPr>
          <w:sz w:val="28"/>
          <w:szCs w:val="28"/>
        </w:rPr>
        <w:t>Palestine</w:t>
      </w:r>
      <w:r>
        <w:rPr>
          <w:rStyle w:val="EndnoteReference"/>
          <w:sz w:val="28"/>
          <w:szCs w:val="28"/>
        </w:rPr>
        <w:endnoteReference w:id="110"/>
      </w:r>
      <w:r w:rsidRPr="00A909CC">
        <w:rPr>
          <w:sz w:val="28"/>
          <w:szCs w:val="28"/>
        </w:rPr>
        <w:t xml:space="preserve"> and Israel, but they failed to take it up.  The sixth committee, which covers legal matters, </w:t>
      </w:r>
      <w:r>
        <w:rPr>
          <w:sz w:val="28"/>
          <w:szCs w:val="28"/>
        </w:rPr>
        <w:t>c</w:t>
      </w:r>
      <w:r w:rsidRPr="00A909CC">
        <w:rPr>
          <w:sz w:val="28"/>
          <w:szCs w:val="28"/>
        </w:rPr>
        <w:t>ould have been a natural</w:t>
      </w:r>
      <w:r>
        <w:rPr>
          <w:sz w:val="28"/>
          <w:szCs w:val="28"/>
        </w:rPr>
        <w:t xml:space="preserve"> venue</w:t>
      </w:r>
      <w:r w:rsidRPr="00A909CC">
        <w:rPr>
          <w:sz w:val="28"/>
          <w:szCs w:val="28"/>
        </w:rPr>
        <w:t xml:space="preserve">.  At various points in 1C </w:t>
      </w:r>
      <w:r>
        <w:rPr>
          <w:sz w:val="28"/>
          <w:szCs w:val="28"/>
        </w:rPr>
        <w:t xml:space="preserve">discussions </w:t>
      </w:r>
      <w:r w:rsidRPr="00A909CC">
        <w:rPr>
          <w:sz w:val="28"/>
          <w:szCs w:val="28"/>
        </w:rPr>
        <w:t xml:space="preserve">members asked if the UN even </w:t>
      </w:r>
      <w:proofErr w:type="gramStart"/>
      <w:r w:rsidRPr="00A909CC">
        <w:rPr>
          <w:sz w:val="28"/>
          <w:szCs w:val="28"/>
        </w:rPr>
        <w:t>had the right</w:t>
      </w:r>
      <w:proofErr w:type="gramEnd"/>
      <w:r w:rsidRPr="00A909CC">
        <w:rPr>
          <w:sz w:val="28"/>
          <w:szCs w:val="28"/>
        </w:rPr>
        <w:t xml:space="preserve"> to partition a mandate and requested that the matter be brought before the International Court of Justice (ICJ).</w:t>
      </w:r>
      <w:r w:rsidRPr="00A909CC">
        <w:rPr>
          <w:rStyle w:val="EndnoteReference"/>
          <w:sz w:val="28"/>
          <w:szCs w:val="28"/>
        </w:rPr>
        <w:endnoteReference w:id="111"/>
      </w:r>
      <w:r w:rsidRPr="00A909CC">
        <w:rPr>
          <w:sz w:val="28"/>
          <w:szCs w:val="28"/>
        </w:rPr>
        <w:t xml:space="preserve">  Already in Oct 1947, there was an attempt to send eight questions about Palestine to the ICJ, but it was defeated.</w:t>
      </w:r>
      <w:r w:rsidRPr="00A909CC">
        <w:rPr>
          <w:rStyle w:val="EndnoteReference"/>
          <w:sz w:val="28"/>
          <w:szCs w:val="28"/>
        </w:rPr>
        <w:endnoteReference w:id="112"/>
      </w:r>
      <w:r w:rsidRPr="00A909CC">
        <w:rPr>
          <w:sz w:val="28"/>
          <w:szCs w:val="28"/>
        </w:rPr>
        <w:t xml:space="preserve">  Further, the ICJ was interested in expanding its docket and get more cases before it.</w:t>
      </w:r>
      <w:r w:rsidRPr="00A909CC">
        <w:rPr>
          <w:rStyle w:val="EndnoteReference"/>
          <w:sz w:val="28"/>
          <w:szCs w:val="28"/>
        </w:rPr>
        <w:endnoteReference w:id="113"/>
      </w:r>
      <w:r w:rsidRPr="00A909CC">
        <w:rPr>
          <w:sz w:val="28"/>
          <w:szCs w:val="28"/>
        </w:rPr>
        <w:t xml:space="preserve">  However, they required three criteria for a case to be submitted to the court:</w:t>
      </w:r>
    </w:p>
    <w:p w14:paraId="415EDD12" w14:textId="77777777" w:rsidR="00E13BCB" w:rsidRPr="00A909CC" w:rsidRDefault="00E13BCB" w:rsidP="00E13BCB">
      <w:pPr>
        <w:rPr>
          <w:sz w:val="28"/>
          <w:szCs w:val="28"/>
        </w:rPr>
      </w:pPr>
    </w:p>
    <w:p w14:paraId="6F53D48D" w14:textId="77777777" w:rsidR="00E13BCB" w:rsidRPr="00A909CC" w:rsidRDefault="00E13BCB" w:rsidP="00E13BCB">
      <w:pPr>
        <w:rPr>
          <w:sz w:val="28"/>
          <w:szCs w:val="28"/>
        </w:rPr>
      </w:pPr>
      <w:r w:rsidRPr="00A909CC">
        <w:rPr>
          <w:sz w:val="28"/>
          <w:szCs w:val="28"/>
        </w:rPr>
        <w:t>1. They should be difficult and of general</w:t>
      </w:r>
      <w:r>
        <w:rPr>
          <w:sz w:val="28"/>
          <w:szCs w:val="28"/>
        </w:rPr>
        <w:t xml:space="preserve"> </w:t>
      </w:r>
      <w:r w:rsidRPr="00A909CC">
        <w:rPr>
          <w:sz w:val="28"/>
          <w:szCs w:val="28"/>
        </w:rPr>
        <w:t>importance.</w:t>
      </w:r>
    </w:p>
    <w:p w14:paraId="7E0E1D54" w14:textId="77777777" w:rsidR="00E13BCB" w:rsidRPr="00A909CC" w:rsidRDefault="00E13BCB" w:rsidP="00E13BCB">
      <w:pPr>
        <w:rPr>
          <w:sz w:val="28"/>
          <w:szCs w:val="28"/>
        </w:rPr>
      </w:pPr>
      <w:r w:rsidRPr="00A909CC">
        <w:rPr>
          <w:sz w:val="28"/>
          <w:szCs w:val="28"/>
        </w:rPr>
        <w:t>2. They should be of such a character as</w:t>
      </w:r>
    </w:p>
    <w:p w14:paraId="7E88264F" w14:textId="77777777" w:rsidR="00E13BCB" w:rsidRPr="00A909CC" w:rsidRDefault="00E13BCB" w:rsidP="00E13BCB">
      <w:pPr>
        <w:rPr>
          <w:sz w:val="28"/>
          <w:szCs w:val="28"/>
        </w:rPr>
      </w:pPr>
      <w:r w:rsidRPr="00A909CC">
        <w:rPr>
          <w:sz w:val="28"/>
          <w:szCs w:val="28"/>
        </w:rPr>
        <w:t>would be likely to arise from time to time in</w:t>
      </w:r>
    </w:p>
    <w:p w14:paraId="48329C36" w14:textId="77777777" w:rsidR="00E13BCB" w:rsidRPr="00A909CC" w:rsidRDefault="00E13BCB" w:rsidP="00E13BCB">
      <w:pPr>
        <w:rPr>
          <w:sz w:val="28"/>
          <w:szCs w:val="28"/>
        </w:rPr>
      </w:pPr>
      <w:r w:rsidRPr="00A909CC">
        <w:rPr>
          <w:sz w:val="28"/>
          <w:szCs w:val="28"/>
        </w:rPr>
        <w:t>the course of the affairs of the organ or agency.</w:t>
      </w:r>
    </w:p>
    <w:p w14:paraId="589F92AA" w14:textId="77777777" w:rsidR="00E13BCB" w:rsidRPr="00A909CC" w:rsidRDefault="00E13BCB" w:rsidP="00E13BCB">
      <w:pPr>
        <w:rPr>
          <w:sz w:val="28"/>
          <w:szCs w:val="28"/>
        </w:rPr>
      </w:pPr>
      <w:r w:rsidRPr="00A909CC">
        <w:rPr>
          <w:sz w:val="28"/>
          <w:szCs w:val="28"/>
        </w:rPr>
        <w:t>3. Matters selected by that process for</w:t>
      </w:r>
    </w:p>
    <w:p w14:paraId="7CCA75CC" w14:textId="77777777" w:rsidR="00E13BCB" w:rsidRPr="00A909CC" w:rsidRDefault="00E13BCB" w:rsidP="00E13BCB">
      <w:pPr>
        <w:rPr>
          <w:sz w:val="28"/>
          <w:szCs w:val="28"/>
        </w:rPr>
      </w:pPr>
      <w:r w:rsidRPr="00A909CC">
        <w:rPr>
          <w:sz w:val="28"/>
          <w:szCs w:val="28"/>
        </w:rPr>
        <w:t>reference to the Court should not relate to</w:t>
      </w:r>
    </w:p>
    <w:p w14:paraId="7E15FE7A" w14:textId="77777777" w:rsidR="00E13BCB" w:rsidRPr="00A909CC" w:rsidRDefault="00E13BCB" w:rsidP="00E13BCB">
      <w:pPr>
        <w:rPr>
          <w:sz w:val="28"/>
          <w:szCs w:val="28"/>
        </w:rPr>
      </w:pPr>
      <w:r w:rsidRPr="00A909CC">
        <w:rPr>
          <w:sz w:val="28"/>
          <w:szCs w:val="28"/>
        </w:rPr>
        <w:t>special and particular problems and issues</w:t>
      </w:r>
    </w:p>
    <w:p w14:paraId="2CD099C3" w14:textId="77777777" w:rsidR="00E13BCB" w:rsidRPr="00A909CC" w:rsidRDefault="00E13BCB" w:rsidP="00E13BCB">
      <w:pPr>
        <w:rPr>
          <w:sz w:val="28"/>
          <w:szCs w:val="28"/>
        </w:rPr>
      </w:pPr>
      <w:r w:rsidRPr="00A909CC">
        <w:rPr>
          <w:sz w:val="28"/>
          <w:szCs w:val="28"/>
        </w:rPr>
        <w:t>which were being currently dealt with by political bodies.</w:t>
      </w:r>
      <w:r w:rsidRPr="00A909CC">
        <w:rPr>
          <w:rStyle w:val="EndnoteReference"/>
          <w:sz w:val="28"/>
          <w:szCs w:val="28"/>
        </w:rPr>
        <w:endnoteReference w:id="114"/>
      </w:r>
    </w:p>
    <w:p w14:paraId="59A7A907" w14:textId="77777777" w:rsidR="00E13BCB" w:rsidRPr="00A909CC" w:rsidRDefault="00E13BCB" w:rsidP="00E13BCB">
      <w:pPr>
        <w:rPr>
          <w:sz w:val="28"/>
          <w:szCs w:val="28"/>
        </w:rPr>
      </w:pPr>
    </w:p>
    <w:p w14:paraId="100C4D8F" w14:textId="77777777" w:rsidR="00E13BCB" w:rsidRPr="00A909CC" w:rsidRDefault="00E13BCB" w:rsidP="00E13BCB">
      <w:pPr>
        <w:rPr>
          <w:sz w:val="28"/>
          <w:szCs w:val="28"/>
        </w:rPr>
      </w:pPr>
      <w:r w:rsidRPr="00A909CC">
        <w:rPr>
          <w:sz w:val="28"/>
          <w:szCs w:val="28"/>
        </w:rPr>
        <w:t>While much regarding Palestine and Israel was difficult, it would have failed the other criteria, and was most certainly a political issue;</w:t>
      </w:r>
      <w:r>
        <w:rPr>
          <w:rStyle w:val="EndnoteReference"/>
          <w:sz w:val="28"/>
          <w:szCs w:val="28"/>
        </w:rPr>
        <w:endnoteReference w:id="115"/>
      </w:r>
      <w:r w:rsidRPr="00A909CC">
        <w:rPr>
          <w:sz w:val="28"/>
          <w:szCs w:val="28"/>
        </w:rPr>
        <w:t xml:space="preserve"> it would almost certainly have been rejected by the court.  Legal scholar </w:t>
      </w:r>
      <w:proofErr w:type="spellStart"/>
      <w:r w:rsidRPr="00A909CC">
        <w:rPr>
          <w:sz w:val="28"/>
          <w:szCs w:val="28"/>
        </w:rPr>
        <w:t>Rosenne</w:t>
      </w:r>
      <w:proofErr w:type="spellEnd"/>
      <w:r w:rsidRPr="00A909CC">
        <w:rPr>
          <w:sz w:val="28"/>
          <w:szCs w:val="28"/>
        </w:rPr>
        <w:t xml:space="preserve"> </w:t>
      </w:r>
      <w:r>
        <w:rPr>
          <w:sz w:val="28"/>
          <w:szCs w:val="28"/>
        </w:rPr>
        <w:t xml:space="preserve">added another reason </w:t>
      </w:r>
      <w:r w:rsidRPr="00A909CC">
        <w:rPr>
          <w:sz w:val="28"/>
          <w:szCs w:val="28"/>
        </w:rPr>
        <w:t>why all the action about going to the ICJ was only political theater or perhaps a stall: none of the actors at the time accepted the Court’s compulsory jurisdiction, which was required for the Court to take on a case.</w:t>
      </w:r>
      <w:r w:rsidRPr="00A909CC">
        <w:rPr>
          <w:rStyle w:val="EndnoteReference"/>
          <w:sz w:val="28"/>
          <w:szCs w:val="28"/>
        </w:rPr>
        <w:endnoteReference w:id="116"/>
      </w:r>
      <w:r w:rsidRPr="00A909CC">
        <w:rPr>
          <w:sz w:val="28"/>
          <w:szCs w:val="28"/>
        </w:rPr>
        <w:t xml:space="preserve">  On the most general question that needed to be asked: “Did the UN have the right to dispose of mandates?</w:t>
      </w:r>
      <w:r>
        <w:rPr>
          <w:sz w:val="28"/>
          <w:szCs w:val="28"/>
        </w:rPr>
        <w:t>”</w:t>
      </w:r>
      <w:r w:rsidRPr="00A909CC">
        <w:rPr>
          <w:sz w:val="28"/>
          <w:szCs w:val="28"/>
        </w:rPr>
        <w:t>, it would be answered 2 years later in the affirmative, so the legal basis was probably already there.</w:t>
      </w:r>
      <w:r w:rsidRPr="00A909CC">
        <w:rPr>
          <w:rStyle w:val="EndnoteReference"/>
          <w:sz w:val="28"/>
          <w:szCs w:val="28"/>
        </w:rPr>
        <w:endnoteReference w:id="117"/>
      </w:r>
      <w:r w:rsidRPr="00A909CC">
        <w:rPr>
          <w:sz w:val="28"/>
          <w:szCs w:val="28"/>
        </w:rPr>
        <w:t xml:space="preserve">  In the end, there were no legal issues, only politics, and so the question of Palestine and Israel didn’t make it to the sixth committee in either the 1947 or 1948 sessions.</w:t>
      </w:r>
    </w:p>
    <w:p w14:paraId="43081C86" w14:textId="77777777" w:rsidR="00E13BCB" w:rsidRPr="00A909CC" w:rsidRDefault="00E13BCB" w:rsidP="00E13BCB">
      <w:pPr>
        <w:rPr>
          <w:sz w:val="28"/>
          <w:szCs w:val="28"/>
        </w:rPr>
      </w:pPr>
    </w:p>
    <w:p w14:paraId="293B15A6" w14:textId="77777777" w:rsidR="00E13BCB" w:rsidRDefault="00E13BCB" w:rsidP="00E13BCB">
      <w:pPr>
        <w:rPr>
          <w:sz w:val="28"/>
          <w:szCs w:val="28"/>
        </w:rPr>
      </w:pPr>
      <w:r w:rsidRPr="00A909CC">
        <w:rPr>
          <w:sz w:val="28"/>
          <w:szCs w:val="28"/>
        </w:rPr>
        <w:t>Given that the Fourth Committee oversaw the Trusteeship Council, which inherited the work of the LN</w:t>
      </w:r>
      <w:r>
        <w:rPr>
          <w:sz w:val="28"/>
          <w:szCs w:val="28"/>
        </w:rPr>
        <w:t>’s</w:t>
      </w:r>
      <w:r w:rsidRPr="00A909CC">
        <w:rPr>
          <w:sz w:val="28"/>
          <w:szCs w:val="28"/>
        </w:rPr>
        <w:t xml:space="preserve"> Permanent Mandates Council, it could reasonably have made it on</w:t>
      </w:r>
      <w:r>
        <w:rPr>
          <w:sz w:val="28"/>
          <w:szCs w:val="28"/>
        </w:rPr>
        <w:t>to</w:t>
      </w:r>
      <w:r w:rsidRPr="00A909CC">
        <w:rPr>
          <w:sz w:val="28"/>
          <w:szCs w:val="28"/>
        </w:rPr>
        <w:t xml:space="preserve"> this committee’s agenda.  However, the UK had given the mandate for Palestine directly to the GA, and not to the Trusteeship Council, as </w:t>
      </w:r>
      <w:r w:rsidRPr="00A909CC">
        <w:rPr>
          <w:sz w:val="28"/>
          <w:szCs w:val="28"/>
        </w:rPr>
        <w:lastRenderedPageBreak/>
        <w:t xml:space="preserve">was the usual </w:t>
      </w:r>
      <w:r>
        <w:rPr>
          <w:sz w:val="28"/>
          <w:szCs w:val="28"/>
        </w:rPr>
        <w:t>path</w:t>
      </w:r>
      <w:r w:rsidRPr="00A909CC">
        <w:rPr>
          <w:sz w:val="28"/>
          <w:szCs w:val="28"/>
        </w:rPr>
        <w:t xml:space="preserve"> with mandates, and so circumvented this committee.  Perhaps by doing so it was trying to ensure that this troublesome mandate didn’t stay a ward of the </w:t>
      </w:r>
      <w:r>
        <w:rPr>
          <w:sz w:val="28"/>
          <w:szCs w:val="28"/>
        </w:rPr>
        <w:t>international community</w:t>
      </w:r>
      <w:r w:rsidRPr="00A909CC">
        <w:rPr>
          <w:sz w:val="28"/>
          <w:szCs w:val="28"/>
        </w:rPr>
        <w:t>, but rather would move directly to statehood in some fashion.  Certainly</w:t>
      </w:r>
      <w:r>
        <w:rPr>
          <w:sz w:val="28"/>
          <w:szCs w:val="28"/>
        </w:rPr>
        <w:t>,</w:t>
      </w:r>
      <w:r w:rsidRPr="00A909CC">
        <w:rPr>
          <w:sz w:val="28"/>
          <w:szCs w:val="28"/>
        </w:rPr>
        <w:t xml:space="preserve"> the UK, who had already told Transjordan that it would accept Amman taking over the </w:t>
      </w:r>
      <w:r>
        <w:rPr>
          <w:sz w:val="28"/>
          <w:szCs w:val="28"/>
        </w:rPr>
        <w:t>West Bank</w:t>
      </w:r>
      <w:r w:rsidRPr="00A909CC">
        <w:rPr>
          <w:sz w:val="28"/>
          <w:szCs w:val="28"/>
        </w:rPr>
        <w:t>,</w:t>
      </w:r>
      <w:r w:rsidRPr="00A909CC">
        <w:rPr>
          <w:rStyle w:val="EndnoteReference"/>
          <w:sz w:val="28"/>
          <w:szCs w:val="28"/>
        </w:rPr>
        <w:endnoteReference w:id="118"/>
      </w:r>
      <w:r w:rsidRPr="00A909CC">
        <w:rPr>
          <w:sz w:val="28"/>
          <w:szCs w:val="28"/>
        </w:rPr>
        <w:t xml:space="preserve"> wanted it to move in this direction.  </w:t>
      </w:r>
      <w:r>
        <w:rPr>
          <w:sz w:val="28"/>
          <w:szCs w:val="28"/>
        </w:rPr>
        <w:t>A</w:t>
      </w:r>
      <w:r w:rsidRPr="00A909CC">
        <w:rPr>
          <w:sz w:val="28"/>
          <w:szCs w:val="28"/>
        </w:rPr>
        <w:t xml:space="preserve">ny observer would have agreed that Palestine had spent almost 30 years as a mandate and was no closer to </w:t>
      </w:r>
      <w:r>
        <w:rPr>
          <w:sz w:val="28"/>
          <w:szCs w:val="28"/>
        </w:rPr>
        <w:t xml:space="preserve">a </w:t>
      </w:r>
      <w:r w:rsidRPr="00A909CC">
        <w:rPr>
          <w:sz w:val="28"/>
          <w:szCs w:val="28"/>
        </w:rPr>
        <w:t xml:space="preserve">peaceful </w:t>
      </w:r>
      <w:r>
        <w:rPr>
          <w:sz w:val="28"/>
          <w:szCs w:val="28"/>
        </w:rPr>
        <w:t>settlement</w:t>
      </w:r>
      <w:r w:rsidRPr="00A909CC">
        <w:rPr>
          <w:sz w:val="28"/>
          <w:szCs w:val="28"/>
        </w:rPr>
        <w:t>,</w:t>
      </w:r>
      <w:r>
        <w:rPr>
          <w:sz w:val="28"/>
          <w:szCs w:val="28"/>
        </w:rPr>
        <w:t xml:space="preserve"> in fact was much farther, </w:t>
      </w:r>
      <w:r w:rsidRPr="00A909CC">
        <w:rPr>
          <w:sz w:val="28"/>
          <w:szCs w:val="28"/>
        </w:rPr>
        <w:t>so why continue down that path?</w:t>
      </w:r>
    </w:p>
    <w:p w14:paraId="5ABA5A65" w14:textId="77777777" w:rsidR="00E13BCB" w:rsidRDefault="00E13BCB" w:rsidP="00E13BCB">
      <w:pPr>
        <w:rPr>
          <w:sz w:val="28"/>
          <w:szCs w:val="28"/>
        </w:rPr>
      </w:pPr>
    </w:p>
    <w:p w14:paraId="3A2AAD68" w14:textId="77777777" w:rsidR="00E13BCB" w:rsidRPr="00BC3F8C" w:rsidRDefault="00E13BCB" w:rsidP="00E13BCB">
      <w:pPr>
        <w:rPr>
          <w:b/>
          <w:sz w:val="28"/>
          <w:szCs w:val="28"/>
        </w:rPr>
      </w:pPr>
      <w:r w:rsidRPr="00BC3F8C">
        <w:rPr>
          <w:b/>
          <w:sz w:val="28"/>
          <w:szCs w:val="28"/>
        </w:rPr>
        <w:t>Transjordan’s Interests</w:t>
      </w:r>
    </w:p>
    <w:p w14:paraId="124B4B05" w14:textId="77777777" w:rsidR="00E13BCB" w:rsidRDefault="00E13BCB" w:rsidP="00E13BCB">
      <w:pPr>
        <w:rPr>
          <w:sz w:val="28"/>
          <w:szCs w:val="28"/>
        </w:rPr>
      </w:pPr>
    </w:p>
    <w:p w14:paraId="6D89C94B" w14:textId="77777777" w:rsidR="00E13BCB" w:rsidRDefault="00E13BCB" w:rsidP="00E13BCB">
      <w:pPr>
        <w:rPr>
          <w:sz w:val="28"/>
          <w:szCs w:val="28"/>
        </w:rPr>
      </w:pPr>
      <w:r>
        <w:rPr>
          <w:sz w:val="28"/>
          <w:szCs w:val="28"/>
        </w:rPr>
        <w:t>While it never made a case for itself in the discussions at 1C, Transjordan had long been planning to annex the West Bank, and even in the absence of a sanction from the international community, it went on to do just that.</w:t>
      </w:r>
      <w:r>
        <w:rPr>
          <w:rStyle w:val="EndnoteReference"/>
          <w:sz w:val="28"/>
          <w:szCs w:val="28"/>
        </w:rPr>
        <w:endnoteReference w:id="119"/>
      </w:r>
      <w:r>
        <w:rPr>
          <w:sz w:val="28"/>
          <w:szCs w:val="28"/>
        </w:rPr>
        <w:t xml:space="preserve">   The last meeting of the IC on this agenda item was 4 December, and almost certainly not coincidentally, the Transjordanian government announced on 7 Dec its intention to implement “the unification of the two sister countries…legally and internationally, when the time is ripe.”  It also announced its name change to reflect the unity of the two parts on that day.</w:t>
      </w:r>
      <w:r>
        <w:rPr>
          <w:rStyle w:val="EndnoteReference"/>
          <w:sz w:val="28"/>
          <w:szCs w:val="28"/>
        </w:rPr>
        <w:endnoteReference w:id="120"/>
      </w:r>
      <w:r>
        <w:rPr>
          <w:sz w:val="28"/>
          <w:szCs w:val="28"/>
        </w:rPr>
        <w:t xml:space="preserve">   In January 1949, </w:t>
      </w:r>
      <w:proofErr w:type="gramStart"/>
      <w:r>
        <w:rPr>
          <w:sz w:val="28"/>
          <w:szCs w:val="28"/>
        </w:rPr>
        <w:t>it</w:t>
      </w:r>
      <w:proofErr w:type="gramEnd"/>
      <w:r>
        <w:rPr>
          <w:sz w:val="28"/>
          <w:szCs w:val="28"/>
        </w:rPr>
        <w:t xml:space="preserve"> abolished borders between the West Bank and East Bank of the Jordan, and made the inhabitants of the West Bank de facto citizens.  February 1949 brought the introduction of civilian rule to the West Bank.  March 1950 brought passage of a law outlawing any mention of Palestine or Transjordan in official documents.  From there on, they were only to be West Bank and East Bank.  In April 1950, all citizens of Jordan voted in parliamentary elections, and annexation was proclaimed 24, April.</w:t>
      </w:r>
      <w:r>
        <w:rPr>
          <w:rStyle w:val="EndnoteReference"/>
          <w:sz w:val="28"/>
          <w:szCs w:val="28"/>
        </w:rPr>
        <w:endnoteReference w:id="121"/>
      </w:r>
      <w:r>
        <w:rPr>
          <w:sz w:val="28"/>
          <w:szCs w:val="28"/>
        </w:rPr>
        <w:t xml:space="preserve"> Only the UK, Iraq and perhaps Pakistan recognized the annexation.  </w:t>
      </w:r>
    </w:p>
    <w:p w14:paraId="59FC3137" w14:textId="77777777" w:rsidR="00E13BCB" w:rsidRDefault="00E13BCB" w:rsidP="00E13BCB">
      <w:pPr>
        <w:rPr>
          <w:sz w:val="28"/>
          <w:szCs w:val="28"/>
        </w:rPr>
      </w:pPr>
      <w:r>
        <w:rPr>
          <w:sz w:val="28"/>
          <w:szCs w:val="28"/>
        </w:rPr>
        <w:t>The response from the Arab League (AL), of which Jordan was a member, was swift.  The issue had been discussed many times, but on 13 April 1950, after the election but before the annexation, the League passed a resolution preserving the independent status of all Palestinian territories.</w:t>
      </w:r>
      <w:r>
        <w:rPr>
          <w:rStyle w:val="EndnoteReference"/>
          <w:sz w:val="28"/>
          <w:szCs w:val="28"/>
        </w:rPr>
        <w:endnoteReference w:id="122"/>
      </w:r>
      <w:r>
        <w:rPr>
          <w:sz w:val="28"/>
          <w:szCs w:val="28"/>
        </w:rPr>
        <w:t xml:space="preserve">  Further, they required that no Arab state could have an independent policy toward either the Palestinian cause or Israel.</w:t>
      </w:r>
      <w:r>
        <w:rPr>
          <w:rStyle w:val="EndnoteReference"/>
          <w:sz w:val="28"/>
          <w:szCs w:val="28"/>
        </w:rPr>
        <w:endnoteReference w:id="123"/>
      </w:r>
      <w:r>
        <w:rPr>
          <w:sz w:val="28"/>
          <w:szCs w:val="28"/>
        </w:rPr>
        <w:t xml:space="preserve">   On this basis, Egypt, Lebanon, Syria and Saudi Arabia called for the expulsion of Jordan from the AL.  On 15 May, the AL Political Committee found that Jordan was in violation of the resolution.  Diplomacy by Iraq and Yemen succeeded in a fudge that allowed Jordan to remain a member after they declared that they were only holding the land in trust for the Palestinian people,</w:t>
      </w:r>
      <w:r>
        <w:rPr>
          <w:rStyle w:val="EndnoteReference"/>
          <w:sz w:val="28"/>
          <w:szCs w:val="28"/>
        </w:rPr>
        <w:endnoteReference w:id="124"/>
      </w:r>
      <w:r>
        <w:rPr>
          <w:sz w:val="28"/>
          <w:szCs w:val="28"/>
        </w:rPr>
        <w:t xml:space="preserve"> and </w:t>
      </w:r>
      <w:r>
        <w:rPr>
          <w:sz w:val="28"/>
          <w:szCs w:val="28"/>
        </w:rPr>
        <w:lastRenderedPageBreak/>
        <w:t xml:space="preserve">could claim no sovereignty.  This was the only time that the AL ever tried to expel a member until Egypt had its membership suspended over its peace treaty with Israel in 1979.  The AL resolutions don’t specify what ought to be done with Palestinian lands, only that they ought to be turned over to the inhabitants to decide on how to govern themselves.  In all cases, the AL certainly meant all of mandatory Palestine. </w:t>
      </w:r>
    </w:p>
    <w:p w14:paraId="3AF8E545" w14:textId="77777777" w:rsidR="00E13BCB" w:rsidRDefault="00E13BCB" w:rsidP="00E13BCB">
      <w:pPr>
        <w:rPr>
          <w:sz w:val="28"/>
          <w:szCs w:val="28"/>
        </w:rPr>
      </w:pPr>
    </w:p>
    <w:p w14:paraId="79805D2F" w14:textId="77777777" w:rsidR="00E13BCB" w:rsidRDefault="00E13BCB" w:rsidP="00E13BCB">
      <w:pPr>
        <w:rPr>
          <w:sz w:val="28"/>
          <w:szCs w:val="28"/>
        </w:rPr>
      </w:pPr>
      <w:r>
        <w:rPr>
          <w:sz w:val="28"/>
          <w:szCs w:val="28"/>
        </w:rPr>
        <w:t>Where did this leave Jordan?  Both the UN’s and the AL’s actions separated citizenship from territorial sovereignty, which ought to be an impossibility in international law.</w:t>
      </w:r>
      <w:r>
        <w:rPr>
          <w:rStyle w:val="EndnoteReference"/>
          <w:sz w:val="28"/>
          <w:szCs w:val="28"/>
        </w:rPr>
        <w:endnoteReference w:id="125"/>
      </w:r>
      <w:r>
        <w:rPr>
          <w:sz w:val="28"/>
          <w:szCs w:val="28"/>
        </w:rPr>
        <w:t xml:space="preserve">  The people of the West Bank were Jordanian citizens, but they were living on land that was still devoid of sovereignty, as it had been under the mandate.  This left them extra-territorial citizens of Jordan, just as the promise of repatriation had made them potential extra-territorial citizens of Israel.  A confusing and anomalous status at best.  Further, Palestinian refugees, in both the West and East Banks, were cared for on account of their Palestinian nationality</w:t>
      </w:r>
      <w:r>
        <w:rPr>
          <w:rStyle w:val="EndnoteReference"/>
          <w:sz w:val="28"/>
          <w:szCs w:val="28"/>
        </w:rPr>
        <w:endnoteReference w:id="126"/>
      </w:r>
      <w:r>
        <w:rPr>
          <w:sz w:val="28"/>
          <w:szCs w:val="28"/>
        </w:rPr>
        <w:t xml:space="preserve"> by UNRWA.  This constituted an infringement on Jordan’s domestic jurisdiction by the UN;</w:t>
      </w:r>
      <w:r>
        <w:rPr>
          <w:rStyle w:val="EndnoteReference"/>
          <w:sz w:val="28"/>
          <w:szCs w:val="28"/>
        </w:rPr>
        <w:endnoteReference w:id="127"/>
      </w:r>
      <w:r>
        <w:rPr>
          <w:sz w:val="28"/>
          <w:szCs w:val="28"/>
        </w:rPr>
        <w:t xml:space="preserve"> Jordan, after all, had already passed a law effacing Palestinian nationality.  In the end, Jordan got the people, but not the land that they were on, and the refugees among them received basic services, food, clothing, housing, education and healthcare directly from the international community and not through their state.  By any standard, the UN compromised Jordanian sovereignty.  </w:t>
      </w:r>
    </w:p>
    <w:p w14:paraId="4C83BB1A" w14:textId="77777777" w:rsidR="00E13BCB" w:rsidRDefault="00E13BCB" w:rsidP="00E13BCB">
      <w:pPr>
        <w:rPr>
          <w:sz w:val="28"/>
          <w:szCs w:val="28"/>
        </w:rPr>
      </w:pPr>
    </w:p>
    <w:p w14:paraId="74ADA4FE" w14:textId="77777777" w:rsidR="00E13BCB" w:rsidRPr="00307B4C" w:rsidRDefault="00E13BCB" w:rsidP="00E13BCB">
      <w:pPr>
        <w:rPr>
          <w:b/>
          <w:sz w:val="28"/>
          <w:szCs w:val="28"/>
        </w:rPr>
      </w:pPr>
      <w:r>
        <w:rPr>
          <w:sz w:val="28"/>
          <w:szCs w:val="28"/>
        </w:rPr>
        <w:t xml:space="preserve">   </w:t>
      </w:r>
      <w:r w:rsidRPr="00307B4C">
        <w:rPr>
          <w:b/>
          <w:sz w:val="28"/>
          <w:szCs w:val="28"/>
        </w:rPr>
        <w:t>Publicists Approach the Problem</w:t>
      </w:r>
    </w:p>
    <w:p w14:paraId="449F883A" w14:textId="77777777" w:rsidR="00E13BCB" w:rsidRDefault="00E13BCB" w:rsidP="00E13BCB">
      <w:pPr>
        <w:rPr>
          <w:sz w:val="28"/>
          <w:szCs w:val="28"/>
        </w:rPr>
      </w:pPr>
    </w:p>
    <w:p w14:paraId="3739FEE6" w14:textId="77777777" w:rsidR="00E13BCB" w:rsidRDefault="00E13BCB" w:rsidP="00E13BCB">
      <w:pPr>
        <w:rPr>
          <w:sz w:val="28"/>
          <w:szCs w:val="28"/>
        </w:rPr>
      </w:pPr>
      <w:r>
        <w:rPr>
          <w:sz w:val="28"/>
          <w:szCs w:val="28"/>
        </w:rPr>
        <w:t xml:space="preserve">A search of articles that discuss the status of sovereignty during the 1948-1967 period brings up little.  While the UN left a great deal of ambiguity in its wake, there seems to have been little interest in understanding, much less fixing it. Jordan had control and considered the area annexed, while Egypt only claimed a military occupation of Gaza, which is a recognized status, even if the underlying sovereignty remained uncertain.  One of the more interesting articles isn’t about the West Bank at all, but Gaza. H. Elihu </w:t>
      </w:r>
      <w:proofErr w:type="spellStart"/>
      <w:r>
        <w:rPr>
          <w:sz w:val="28"/>
          <w:szCs w:val="28"/>
        </w:rPr>
        <w:t>Lauterpacht</w:t>
      </w:r>
      <w:proofErr w:type="spellEnd"/>
      <w:r>
        <w:rPr>
          <w:sz w:val="28"/>
          <w:szCs w:val="28"/>
        </w:rPr>
        <w:t>, a publicist of international law, wrote, as a representative of the crown government, an analysis of the problem of sovereignty in Gaza.</w:t>
      </w:r>
      <w:r>
        <w:rPr>
          <w:rStyle w:val="EndnoteReference"/>
          <w:sz w:val="28"/>
          <w:szCs w:val="28"/>
        </w:rPr>
        <w:endnoteReference w:id="128"/>
      </w:r>
      <w:r>
        <w:rPr>
          <w:sz w:val="28"/>
          <w:szCs w:val="28"/>
        </w:rPr>
        <w:t xml:space="preserve">  The UK recognized Jordan’s annexation of the West Bank, so sovereignty for them was entirely clear there; this is an explanation of what it might be in Gaza, where the Egyptians were the occupiers.  However, for any country that didn’t recognize that annexation, which was all the rest of </w:t>
      </w:r>
      <w:r>
        <w:rPr>
          <w:sz w:val="28"/>
          <w:szCs w:val="28"/>
        </w:rPr>
        <w:lastRenderedPageBreak/>
        <w:t xml:space="preserve">the world, </w:t>
      </w:r>
      <w:proofErr w:type="spellStart"/>
      <w:r>
        <w:rPr>
          <w:sz w:val="28"/>
          <w:szCs w:val="28"/>
        </w:rPr>
        <w:t>Lauterpacht’s</w:t>
      </w:r>
      <w:proofErr w:type="spellEnd"/>
      <w:r>
        <w:rPr>
          <w:sz w:val="28"/>
          <w:szCs w:val="28"/>
        </w:rPr>
        <w:t xml:space="preserve"> analysis is applicable to the West Bank as well.  What this keen mind arrives at is clear as mud.</w:t>
      </w:r>
      <w:r>
        <w:rPr>
          <w:rStyle w:val="EndnoteReference"/>
          <w:sz w:val="28"/>
          <w:szCs w:val="28"/>
        </w:rPr>
        <w:endnoteReference w:id="129"/>
      </w:r>
      <w:r>
        <w:rPr>
          <w:sz w:val="28"/>
          <w:szCs w:val="28"/>
        </w:rPr>
        <w:t xml:space="preserve">  The odd fact is that in stating “…</w:t>
      </w:r>
      <w:r w:rsidRPr="00BA386F">
        <w:rPr>
          <w:sz w:val="28"/>
          <w:szCs w:val="28"/>
        </w:rPr>
        <w:t>or as suggesting that the status of the Strip is such as might enable an occupant, also possessing the intention to annex it, to acquire title to the area</w:t>
      </w:r>
      <w:r>
        <w:rPr>
          <w:sz w:val="28"/>
          <w:szCs w:val="28"/>
        </w:rPr>
        <w:t>.”, he seems to undercut the possibility that Jordan could ever have annexed the West Bank.  The context here, however, is Israel’s occupation of Gaza in the 1956 Sinai War, so that is the occupier that is unable to annex it.  If Egypt would have asked to annex Gaza, the UK might have arrived at a different conclusion.  He finishes with “</w:t>
      </w:r>
      <w:r w:rsidRPr="00BA386F">
        <w:rPr>
          <w:sz w:val="28"/>
          <w:szCs w:val="28"/>
        </w:rPr>
        <w:t xml:space="preserve">It is probably that the Foreign Secretary was saying no more than that the question of sovereignty over the Gaza Strip is </w:t>
      </w:r>
      <w:r>
        <w:rPr>
          <w:sz w:val="28"/>
          <w:szCs w:val="28"/>
        </w:rPr>
        <w:t>‘</w:t>
      </w:r>
      <w:r w:rsidRPr="00BA386F">
        <w:rPr>
          <w:sz w:val="28"/>
          <w:szCs w:val="28"/>
        </w:rPr>
        <w:t xml:space="preserve">uncertain or </w:t>
      </w:r>
      <w:r>
        <w:rPr>
          <w:sz w:val="28"/>
          <w:szCs w:val="28"/>
        </w:rPr>
        <w:t>undetermined’…”</w:t>
      </w:r>
      <w:r>
        <w:rPr>
          <w:rStyle w:val="EndnoteReference"/>
          <w:sz w:val="28"/>
          <w:szCs w:val="28"/>
        </w:rPr>
        <w:endnoteReference w:id="130"/>
      </w:r>
      <w:r>
        <w:rPr>
          <w:sz w:val="28"/>
          <w:szCs w:val="28"/>
        </w:rPr>
        <w:t xml:space="preserve"> which isn’t helpful, but at least allows us to know that if we are lost, we aren’t alone.</w:t>
      </w:r>
    </w:p>
    <w:p w14:paraId="46F491A0" w14:textId="77777777" w:rsidR="00E13BCB" w:rsidRDefault="00E13BCB" w:rsidP="00E13BCB">
      <w:pPr>
        <w:rPr>
          <w:sz w:val="28"/>
          <w:szCs w:val="28"/>
        </w:rPr>
      </w:pPr>
    </w:p>
    <w:p w14:paraId="2F837953" w14:textId="77777777" w:rsidR="00E13BCB" w:rsidRPr="008A3622" w:rsidRDefault="00E13BCB" w:rsidP="00E13BCB">
      <w:pPr>
        <w:rPr>
          <w:sz w:val="28"/>
          <w:szCs w:val="28"/>
        </w:rPr>
      </w:pPr>
      <w:r>
        <w:rPr>
          <w:sz w:val="28"/>
          <w:szCs w:val="28"/>
        </w:rPr>
        <w:t xml:space="preserve">Pablo de </w:t>
      </w:r>
      <w:proofErr w:type="spellStart"/>
      <w:r>
        <w:rPr>
          <w:sz w:val="28"/>
          <w:szCs w:val="28"/>
        </w:rPr>
        <w:t>Azcarate</w:t>
      </w:r>
      <w:proofErr w:type="spellEnd"/>
      <w:r>
        <w:rPr>
          <w:sz w:val="28"/>
          <w:szCs w:val="28"/>
        </w:rPr>
        <w:t xml:space="preserve">, a diplomat with the LN and UN, began his career as a professor of administrative law.  He assumed that simply holding land would inevitably transform from a </w:t>
      </w:r>
      <w:r w:rsidRPr="008A3622">
        <w:rPr>
          <w:i/>
          <w:iCs/>
          <w:sz w:val="28"/>
          <w:szCs w:val="28"/>
        </w:rPr>
        <w:t>de facto</w:t>
      </w:r>
      <w:r>
        <w:rPr>
          <w:sz w:val="28"/>
          <w:szCs w:val="28"/>
        </w:rPr>
        <w:t xml:space="preserve"> to a </w:t>
      </w:r>
      <w:r>
        <w:rPr>
          <w:i/>
          <w:iCs/>
          <w:sz w:val="28"/>
          <w:szCs w:val="28"/>
        </w:rPr>
        <w:t xml:space="preserve">de jure </w:t>
      </w:r>
      <w:r>
        <w:rPr>
          <w:sz w:val="28"/>
          <w:szCs w:val="28"/>
        </w:rPr>
        <w:t>sovereign status, and that it was the natural order of things.</w:t>
      </w:r>
      <w:r>
        <w:rPr>
          <w:rStyle w:val="EndnoteReference"/>
          <w:sz w:val="28"/>
          <w:szCs w:val="28"/>
        </w:rPr>
        <w:endnoteReference w:id="131"/>
      </w:r>
      <w:r>
        <w:rPr>
          <w:sz w:val="28"/>
          <w:szCs w:val="28"/>
        </w:rPr>
        <w:t xml:space="preserve">  He was wrong; if it was the usual course of things, then it was resisted in this case.  It is never surprising that the international community has created anomalies in this region.</w:t>
      </w:r>
    </w:p>
    <w:p w14:paraId="61D22298" w14:textId="77777777" w:rsidR="00E13BCB" w:rsidRDefault="00E13BCB" w:rsidP="00E13BCB">
      <w:pPr>
        <w:rPr>
          <w:sz w:val="28"/>
          <w:szCs w:val="28"/>
        </w:rPr>
      </w:pPr>
    </w:p>
    <w:p w14:paraId="5585F8F5" w14:textId="77777777" w:rsidR="00E13BCB" w:rsidRDefault="00E13BCB" w:rsidP="00E13BCB">
      <w:pPr>
        <w:rPr>
          <w:sz w:val="28"/>
          <w:szCs w:val="28"/>
        </w:rPr>
      </w:pPr>
      <w:r>
        <w:rPr>
          <w:sz w:val="28"/>
          <w:szCs w:val="28"/>
        </w:rPr>
        <w:t>Other commenters merely assume that the territory has been annexed.</w:t>
      </w:r>
      <w:r>
        <w:rPr>
          <w:rStyle w:val="EndnoteReference"/>
          <w:sz w:val="28"/>
          <w:szCs w:val="28"/>
        </w:rPr>
        <w:endnoteReference w:id="132"/>
      </w:r>
      <w:r>
        <w:rPr>
          <w:sz w:val="28"/>
          <w:szCs w:val="28"/>
        </w:rPr>
        <w:t xml:space="preserve">  Surprisingly, one such was Charles Malik, a Lebanese delegate to the UN who was nominated to be chairman of the sixth committee in the 1947 session and later was shortlisted to be Secretary General.  All he says in his overview of Jordan is “…and the annexation of parts of Arab Palestine west of the river Jordan…”</w:t>
      </w:r>
      <w:r>
        <w:rPr>
          <w:rStyle w:val="EndnoteReference"/>
          <w:sz w:val="28"/>
          <w:szCs w:val="28"/>
        </w:rPr>
        <w:endnoteReference w:id="133"/>
      </w:r>
      <w:r>
        <w:rPr>
          <w:sz w:val="28"/>
          <w:szCs w:val="28"/>
        </w:rPr>
        <w:t xml:space="preserve">  Surely, as a delegate from one of the states that opposed the Hashemites, as a jurist, and as a participant in those debates, he should have known better, but he passed it by.</w:t>
      </w:r>
    </w:p>
    <w:p w14:paraId="0FACC3BF" w14:textId="77777777" w:rsidR="00E13BCB" w:rsidRDefault="00E13BCB" w:rsidP="00E13BCB">
      <w:pPr>
        <w:rPr>
          <w:sz w:val="28"/>
          <w:szCs w:val="28"/>
        </w:rPr>
      </w:pPr>
    </w:p>
    <w:p w14:paraId="71DE29B6" w14:textId="77777777" w:rsidR="00E13BCB" w:rsidRDefault="00E13BCB" w:rsidP="00E13BCB">
      <w:pPr>
        <w:rPr>
          <w:sz w:val="28"/>
          <w:szCs w:val="28"/>
        </w:rPr>
      </w:pPr>
      <w:r>
        <w:rPr>
          <w:sz w:val="28"/>
          <w:szCs w:val="28"/>
        </w:rPr>
        <w:t>Given all of the questions that remained unresolved, it is strange that there was so little interest in them in the 1948-1967 period.  Sovereignty under the mandates was discussed during the LN, and the struggles over SW Africa as well as Palestine raised the issue in the early years of the UN.  Perhaps everyone had had enough and decided that an Arab regime ruling over other Arabs was an appropriate solution; whatever the legal complexities were, they didn’t need to be investigated.  If the legal problems of a Jordanian of Amman moving to Jenin in 1960 were actually about the same (but not quite)</w:t>
      </w:r>
      <w:r>
        <w:rPr>
          <w:rStyle w:val="EndnoteReference"/>
          <w:sz w:val="28"/>
          <w:szCs w:val="28"/>
        </w:rPr>
        <w:endnoteReference w:id="134"/>
      </w:r>
      <w:r>
        <w:rPr>
          <w:sz w:val="28"/>
          <w:szCs w:val="28"/>
        </w:rPr>
        <w:t xml:space="preserve"> as those of an Israeli citizen moving to East Jerusalem in 1970, the international community certainly didn’t </w:t>
      </w:r>
      <w:r>
        <w:rPr>
          <w:sz w:val="28"/>
          <w:szCs w:val="28"/>
        </w:rPr>
        <w:lastRenderedPageBreak/>
        <w:t xml:space="preserve">think so.  Searching for articles that mention the status of sovereignty of the West Bank and Gaza in the 18 years after 1967 looks nothing like the 18 years before.  There are thousands of mentions; suddenly people take note of the problems again. </w:t>
      </w:r>
    </w:p>
    <w:p w14:paraId="72F31536" w14:textId="77777777" w:rsidR="00E13BCB" w:rsidRDefault="00E13BCB" w:rsidP="00E13BCB">
      <w:pPr>
        <w:rPr>
          <w:sz w:val="28"/>
          <w:szCs w:val="28"/>
        </w:rPr>
      </w:pPr>
    </w:p>
    <w:p w14:paraId="7281C09C" w14:textId="77777777" w:rsidR="00E13BCB" w:rsidRDefault="00E13BCB" w:rsidP="00E13BCB">
      <w:pPr>
        <w:rPr>
          <w:sz w:val="28"/>
          <w:szCs w:val="28"/>
        </w:rPr>
      </w:pPr>
      <w:r>
        <w:rPr>
          <w:sz w:val="28"/>
          <w:szCs w:val="28"/>
        </w:rPr>
        <w:t xml:space="preserve">One of the earliest to write about this is again </w:t>
      </w:r>
      <w:proofErr w:type="spellStart"/>
      <w:r>
        <w:rPr>
          <w:sz w:val="28"/>
          <w:szCs w:val="28"/>
        </w:rPr>
        <w:t>Lauterpacht</w:t>
      </w:r>
      <w:proofErr w:type="spellEnd"/>
      <w:r>
        <w:rPr>
          <w:sz w:val="28"/>
          <w:szCs w:val="28"/>
        </w:rPr>
        <w:t>, who, when working for the UK government, assumed Jordan’s legal annexation of the West Bank.  In this work, he is writing for himself, and he has entirely changed his mind.</w:t>
      </w:r>
      <w:r>
        <w:rPr>
          <w:rStyle w:val="EndnoteReference"/>
          <w:sz w:val="28"/>
          <w:szCs w:val="28"/>
        </w:rPr>
        <w:endnoteReference w:id="135"/>
      </w:r>
      <w:r>
        <w:rPr>
          <w:sz w:val="28"/>
          <w:szCs w:val="28"/>
        </w:rPr>
        <w:t xml:space="preserve">    Now he thinks that there is a strong case to be made for Israel to claim title to all of mandatory Palestine and ought to.  Mr. </w:t>
      </w:r>
      <w:proofErr w:type="spellStart"/>
      <w:r>
        <w:rPr>
          <w:sz w:val="28"/>
          <w:szCs w:val="28"/>
        </w:rPr>
        <w:t>Munkman</w:t>
      </w:r>
      <w:proofErr w:type="spellEnd"/>
      <w:r>
        <w:rPr>
          <w:sz w:val="28"/>
          <w:szCs w:val="28"/>
        </w:rPr>
        <w:t xml:space="preserve">, reviewing this book, gives less time to </w:t>
      </w:r>
      <w:proofErr w:type="spellStart"/>
      <w:r>
        <w:rPr>
          <w:sz w:val="28"/>
          <w:szCs w:val="28"/>
        </w:rPr>
        <w:t>Lauterpacht’s</w:t>
      </w:r>
      <w:proofErr w:type="spellEnd"/>
      <w:r>
        <w:rPr>
          <w:sz w:val="28"/>
          <w:szCs w:val="28"/>
        </w:rPr>
        <w:t xml:space="preserve"> argument than to his own rebuttal, but it covers most of what is said in the 1C debates and makes the legal points as well (reviewers have to be terse, diplomats tend to go on some).  </w:t>
      </w:r>
      <w:proofErr w:type="spellStart"/>
      <w:r>
        <w:rPr>
          <w:sz w:val="28"/>
          <w:szCs w:val="28"/>
        </w:rPr>
        <w:t>Munkman</w:t>
      </w:r>
      <w:proofErr w:type="spellEnd"/>
      <w:r>
        <w:rPr>
          <w:sz w:val="28"/>
          <w:szCs w:val="28"/>
        </w:rPr>
        <w:t xml:space="preserve"> was entirely certain that Jordan held full title and that there are no reasonable arguments that might shake that.</w:t>
      </w:r>
      <w:r>
        <w:rPr>
          <w:rStyle w:val="EndnoteReference"/>
          <w:sz w:val="28"/>
          <w:szCs w:val="28"/>
        </w:rPr>
        <w:endnoteReference w:id="136"/>
      </w:r>
      <w:r>
        <w:rPr>
          <w:sz w:val="28"/>
          <w:szCs w:val="28"/>
        </w:rPr>
        <w:t xml:space="preserve">  It isn’t the place of this paper to choose between them, but to marvel that the ambiguity the UN allowed was such that the two thinkers could both make forceful arguments and arrive at fully opposing conclusions.</w:t>
      </w:r>
    </w:p>
    <w:p w14:paraId="76C71495" w14:textId="77777777" w:rsidR="00E13BCB" w:rsidRDefault="00E13BCB" w:rsidP="00E13BCB">
      <w:pPr>
        <w:rPr>
          <w:sz w:val="28"/>
          <w:szCs w:val="28"/>
        </w:rPr>
      </w:pPr>
    </w:p>
    <w:p w14:paraId="4E6D9855" w14:textId="77777777" w:rsidR="00E13BCB" w:rsidRDefault="00E13BCB" w:rsidP="00E13BCB">
      <w:pPr>
        <w:rPr>
          <w:sz w:val="28"/>
          <w:szCs w:val="28"/>
        </w:rPr>
      </w:pPr>
      <w:r>
        <w:rPr>
          <w:sz w:val="28"/>
          <w:szCs w:val="28"/>
        </w:rPr>
        <w:t xml:space="preserve">Shabtai </w:t>
      </w:r>
      <w:proofErr w:type="spellStart"/>
      <w:r>
        <w:rPr>
          <w:sz w:val="28"/>
          <w:szCs w:val="28"/>
        </w:rPr>
        <w:t>Rosenne</w:t>
      </w:r>
      <w:proofErr w:type="spellEnd"/>
      <w:r>
        <w:rPr>
          <w:sz w:val="28"/>
          <w:szCs w:val="28"/>
        </w:rPr>
        <w:t>, who helped negotiate the Armistices, also wrote an overview of the history and law in 1968, with an eye to understanding how the new situation might lead to a settlement of the conflict.  He manages a summary of the legal issues that just skirts the issue of sovereignty, making it about as clear seeming as any writer could manage.</w:t>
      </w:r>
      <w:r>
        <w:rPr>
          <w:rStyle w:val="EndnoteReference"/>
          <w:sz w:val="28"/>
          <w:szCs w:val="28"/>
        </w:rPr>
        <w:endnoteReference w:id="137"/>
      </w:r>
      <w:r>
        <w:rPr>
          <w:sz w:val="28"/>
          <w:szCs w:val="28"/>
        </w:rPr>
        <w:t xml:space="preserve">  He makes two small nods to the problems of sovereignty</w:t>
      </w:r>
      <w:r>
        <w:rPr>
          <w:rStyle w:val="EndnoteReference"/>
          <w:sz w:val="28"/>
          <w:szCs w:val="28"/>
        </w:rPr>
        <w:endnoteReference w:id="138"/>
      </w:r>
      <w:r>
        <w:rPr>
          <w:sz w:val="28"/>
          <w:szCs w:val="28"/>
        </w:rPr>
        <w:t xml:space="preserve"> and clearly acknowledges that it must be solved, but his general approach is to work each case on its merits and not from generalized principals, so he is willing to see this defect as solvable in a general agreement.  For </w:t>
      </w:r>
      <w:proofErr w:type="spellStart"/>
      <w:r>
        <w:rPr>
          <w:sz w:val="28"/>
          <w:szCs w:val="28"/>
        </w:rPr>
        <w:t>Rosenne</w:t>
      </w:r>
      <w:proofErr w:type="spellEnd"/>
      <w:r>
        <w:rPr>
          <w:sz w:val="28"/>
          <w:szCs w:val="28"/>
        </w:rPr>
        <w:t xml:space="preserve">, the problems keeping the sides from finding common ground are so much more fundamental than territorial sovereignty, which he probably considered a detail.  </w:t>
      </w:r>
    </w:p>
    <w:p w14:paraId="5D79C6A0" w14:textId="77777777" w:rsidR="00E13BCB" w:rsidRDefault="00E13BCB" w:rsidP="00E13BCB">
      <w:pPr>
        <w:rPr>
          <w:sz w:val="28"/>
          <w:szCs w:val="28"/>
        </w:rPr>
      </w:pPr>
    </w:p>
    <w:p w14:paraId="23C5C87C" w14:textId="77777777" w:rsidR="00E13BCB" w:rsidRDefault="00E13BCB" w:rsidP="00E13BCB">
      <w:pPr>
        <w:rPr>
          <w:sz w:val="28"/>
          <w:szCs w:val="28"/>
        </w:rPr>
      </w:pPr>
      <w:r>
        <w:rPr>
          <w:sz w:val="28"/>
          <w:szCs w:val="28"/>
        </w:rPr>
        <w:t>Alan Levine begins his discussion of our problem by asserting “</w:t>
      </w:r>
      <w:r w:rsidRPr="00603806">
        <w:rPr>
          <w:noProof/>
          <w:sz w:val="28"/>
          <w:szCs w:val="28"/>
        </w:rPr>
        <mc:AlternateContent>
          <mc:Choice Requires="wps">
            <w:drawing>
              <wp:anchor distT="0" distB="0" distL="0" distR="0" simplePos="0" relativeHeight="251659264" behindDoc="0" locked="0" layoutInCell="1" allowOverlap="1" wp14:anchorId="3D4D187D" wp14:editId="51B1423C">
                <wp:simplePos x="0" y="0"/>
                <wp:positionH relativeFrom="page">
                  <wp:posOffset>464185</wp:posOffset>
                </wp:positionH>
                <wp:positionV relativeFrom="paragraph">
                  <wp:posOffset>445770</wp:posOffset>
                </wp:positionV>
                <wp:extent cx="619760" cy="0"/>
                <wp:effectExtent l="0" t="0" r="2540" b="0"/>
                <wp:wrapTopAndBottom/>
                <wp:docPr id="16" name="Lin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19760" cy="0"/>
                        </a:xfrm>
                        <a:prstGeom prst="line">
                          <a:avLst/>
                        </a:prstGeom>
                        <a:noFill/>
                        <a:ln w="915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8F3618" id="Line 16" o:spid="_x0000_s1026" style="position:absolute;z-index:2516592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6.55pt,35.1pt" to="85.35pt,35.1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" strokeweight=".25433mm">
                <o:lock v:ext="edit" shapetype="f"/>
                <w10:wrap type="topAndBottom" anchorx="page"/>
              </v:line>
            </w:pict>
          </mc:Fallback>
        </mc:AlternateContent>
      </w:r>
      <w:r w:rsidRPr="00603806">
        <w:rPr>
          <w:sz w:val="28"/>
          <w:szCs w:val="28"/>
        </w:rPr>
        <w:t>By charting the  path  of  sovereignty  through  this  historical web, Israel's status in East Jerusalem and the West Bank in 1972 is</w:t>
      </w:r>
      <w:r>
        <w:rPr>
          <w:sz w:val="28"/>
          <w:szCs w:val="28"/>
        </w:rPr>
        <w:t xml:space="preserve"> ascertainable.”</w:t>
      </w:r>
      <w:r>
        <w:rPr>
          <w:rStyle w:val="EndnoteReference"/>
          <w:sz w:val="28"/>
          <w:szCs w:val="28"/>
        </w:rPr>
        <w:endnoteReference w:id="139"/>
      </w:r>
      <w:r>
        <w:rPr>
          <w:sz w:val="28"/>
          <w:szCs w:val="28"/>
        </w:rPr>
        <w:t xml:space="preserve">  He summarizes Wright’s possibilities for the location of sovereignty in a mandate and arrives at the usual murky compromise for that issue; that it was either suspended or suspended till the population was able to self-rule.</w:t>
      </w:r>
      <w:r>
        <w:rPr>
          <w:rStyle w:val="EndnoteReference"/>
          <w:sz w:val="28"/>
          <w:szCs w:val="28"/>
        </w:rPr>
        <w:endnoteReference w:id="140"/>
      </w:r>
      <w:r>
        <w:rPr>
          <w:sz w:val="28"/>
          <w:szCs w:val="28"/>
        </w:rPr>
        <w:t xml:space="preserve">  He accepts that had 181 been implemented, it would have created two sovereign states.</w:t>
      </w:r>
      <w:r>
        <w:rPr>
          <w:rStyle w:val="EndnoteReference"/>
          <w:sz w:val="28"/>
          <w:szCs w:val="28"/>
        </w:rPr>
        <w:endnoteReference w:id="141"/>
      </w:r>
      <w:r>
        <w:rPr>
          <w:sz w:val="28"/>
          <w:szCs w:val="28"/>
        </w:rPr>
        <w:t xml:space="preserve">  He is quite clear that Jordan couldn’t have gained sovereignty over the West Bank.</w:t>
      </w:r>
      <w:r>
        <w:rPr>
          <w:rStyle w:val="EndnoteReference"/>
          <w:sz w:val="28"/>
          <w:szCs w:val="28"/>
        </w:rPr>
        <w:endnoteReference w:id="142"/>
      </w:r>
      <w:r>
        <w:rPr>
          <w:sz w:val="28"/>
          <w:szCs w:val="28"/>
        </w:rPr>
        <w:t xml:space="preserve"> When he </w:t>
      </w:r>
      <w:r>
        <w:rPr>
          <w:sz w:val="28"/>
          <w:szCs w:val="28"/>
        </w:rPr>
        <w:lastRenderedPageBreak/>
        <w:t>arrives at the post-1967 situation, it becomes clear that there are still complex options, and that Israel might well make the case for sovereignty, but there are still other options.</w:t>
      </w:r>
      <w:r>
        <w:rPr>
          <w:rStyle w:val="EndnoteReference"/>
          <w:sz w:val="28"/>
          <w:szCs w:val="28"/>
        </w:rPr>
        <w:endnoteReference w:id="143"/>
      </w:r>
      <w:r>
        <w:rPr>
          <w:sz w:val="28"/>
          <w:szCs w:val="28"/>
        </w:rPr>
        <w:t xml:space="preserve">  In the end, he simply cannot fulfill the promise that it is ascertainable; there are too many possibilities, theories, contingencies and conditions.  Levine’s is the most complete overview of all the articles, and the one that most limits itself to the topic of sovereignty, but even he can only report the options.</w:t>
      </w:r>
    </w:p>
    <w:p w14:paraId="75A90726" w14:textId="77777777" w:rsidR="00E13BCB" w:rsidRDefault="00E13BCB" w:rsidP="00E13BCB">
      <w:pPr>
        <w:rPr>
          <w:sz w:val="28"/>
          <w:szCs w:val="28"/>
        </w:rPr>
      </w:pPr>
    </w:p>
    <w:p w14:paraId="70842F4B" w14:textId="77777777" w:rsidR="00E13BCB" w:rsidRDefault="00E13BCB" w:rsidP="00E13BCB">
      <w:pPr>
        <w:rPr>
          <w:sz w:val="28"/>
          <w:szCs w:val="28"/>
        </w:rPr>
      </w:pPr>
      <w:r>
        <w:rPr>
          <w:sz w:val="28"/>
          <w:szCs w:val="28"/>
        </w:rPr>
        <w:t xml:space="preserve">I have limited myself in these articles to those closest to the 67 war in an effort to understand the situation as it might have been understood in the 1948-67 years.  Any subsequent changes in international law, spurred by the new situation, is outside the scope of this paper.  </w:t>
      </w:r>
    </w:p>
    <w:p w14:paraId="1A173F11" w14:textId="77777777" w:rsidR="00E13BCB" w:rsidRDefault="00E13BCB" w:rsidP="00E13BCB">
      <w:pPr>
        <w:rPr>
          <w:sz w:val="28"/>
          <w:szCs w:val="28"/>
        </w:rPr>
      </w:pPr>
    </w:p>
    <w:p w14:paraId="08DB3B88" w14:textId="77777777" w:rsidR="00E13BCB" w:rsidRPr="00603806" w:rsidRDefault="00E13BCB" w:rsidP="00E13BCB">
      <w:pPr>
        <w:rPr>
          <w:sz w:val="28"/>
          <w:szCs w:val="28"/>
        </w:rPr>
      </w:pPr>
      <w:r>
        <w:rPr>
          <w:sz w:val="28"/>
          <w:szCs w:val="28"/>
        </w:rPr>
        <w:t xml:space="preserve">Where are the Arab publicists of international law in this list?  Here I must defer to </w:t>
      </w:r>
      <w:proofErr w:type="spellStart"/>
      <w:r>
        <w:rPr>
          <w:sz w:val="28"/>
          <w:szCs w:val="28"/>
        </w:rPr>
        <w:t>Rosenne’s</w:t>
      </w:r>
      <w:proofErr w:type="spellEnd"/>
      <w:r>
        <w:rPr>
          <w:sz w:val="28"/>
          <w:szCs w:val="28"/>
        </w:rPr>
        <w:t xml:space="preserve"> judgement, which is that the Arab jurists of that era have an intrinsically different approach to matters of international law, and so there is no useful dialogue.</w:t>
      </w:r>
      <w:r>
        <w:rPr>
          <w:rStyle w:val="EndnoteReference"/>
          <w:sz w:val="28"/>
          <w:szCs w:val="28"/>
        </w:rPr>
        <w:endnoteReference w:id="144"/>
      </w:r>
      <w:r>
        <w:rPr>
          <w:sz w:val="28"/>
          <w:szCs w:val="28"/>
        </w:rPr>
        <w:t xml:space="preserve">  Charles Malik, George </w:t>
      </w:r>
      <w:proofErr w:type="spellStart"/>
      <w:r>
        <w:rPr>
          <w:sz w:val="28"/>
          <w:szCs w:val="28"/>
        </w:rPr>
        <w:t>Tomeh</w:t>
      </w:r>
      <w:proofErr w:type="spellEnd"/>
      <w:r>
        <w:rPr>
          <w:sz w:val="28"/>
          <w:szCs w:val="28"/>
        </w:rPr>
        <w:t xml:space="preserve"> and Muhammed El-</w:t>
      </w:r>
      <w:proofErr w:type="spellStart"/>
      <w:r>
        <w:rPr>
          <w:sz w:val="28"/>
          <w:szCs w:val="28"/>
        </w:rPr>
        <w:t>Farra</w:t>
      </w:r>
      <w:proofErr w:type="spellEnd"/>
      <w:r>
        <w:rPr>
          <w:sz w:val="28"/>
          <w:szCs w:val="28"/>
        </w:rPr>
        <w:t xml:space="preserve"> offer good examples of this sort of writing, though there are others.  None of them engage directly with the issue of sovereignty directly, and when they touch on it, it is clear to them that Israel must disappear.  They often use the language of international law, but with an emphasis on rights, natural law and justice that overrides legal considerations.</w:t>
      </w:r>
      <w:r>
        <w:rPr>
          <w:rStyle w:val="EndnoteReference"/>
          <w:sz w:val="28"/>
          <w:szCs w:val="28"/>
        </w:rPr>
        <w:endnoteReference w:id="145"/>
      </w:r>
      <w:r>
        <w:rPr>
          <w:sz w:val="28"/>
          <w:szCs w:val="28"/>
        </w:rPr>
        <w:t xml:space="preserve">  </w:t>
      </w:r>
    </w:p>
    <w:p w14:paraId="5D878767" w14:textId="77777777" w:rsidR="00E13BCB" w:rsidRPr="00E34746" w:rsidRDefault="00E13BCB" w:rsidP="00E13BCB">
      <w:pPr>
        <w:rPr>
          <w:sz w:val="28"/>
          <w:szCs w:val="28"/>
        </w:rPr>
      </w:pPr>
    </w:p>
    <w:p w14:paraId="336260B2" w14:textId="77777777" w:rsidR="00E13BCB" w:rsidRPr="000625F7" w:rsidRDefault="00E13BCB" w:rsidP="00E13BCB">
      <w:pPr>
        <w:rPr>
          <w:sz w:val="28"/>
          <w:szCs w:val="28"/>
        </w:rPr>
      </w:pPr>
    </w:p>
    <w:p w14:paraId="6024642E" w14:textId="77777777" w:rsidR="00E13BCB" w:rsidRPr="00453E05" w:rsidRDefault="00E13BCB" w:rsidP="00E13BCB">
      <w:pPr>
        <w:rPr>
          <w:b/>
          <w:sz w:val="28"/>
          <w:szCs w:val="28"/>
        </w:rPr>
      </w:pPr>
      <w:r w:rsidRPr="00453E05">
        <w:rPr>
          <w:b/>
          <w:sz w:val="28"/>
          <w:szCs w:val="28"/>
        </w:rPr>
        <w:t>The Costs of Ambiguity</w:t>
      </w:r>
    </w:p>
    <w:p w14:paraId="6F24188B" w14:textId="77777777" w:rsidR="00E13BCB" w:rsidRDefault="00E13BCB" w:rsidP="00E13BCB">
      <w:pPr>
        <w:rPr>
          <w:sz w:val="28"/>
          <w:szCs w:val="28"/>
        </w:rPr>
      </w:pPr>
    </w:p>
    <w:p w14:paraId="56CE728C" w14:textId="77777777" w:rsidR="00E13BCB" w:rsidRDefault="00E13BCB" w:rsidP="00E13BCB">
      <w:pPr>
        <w:rPr>
          <w:sz w:val="28"/>
          <w:szCs w:val="28"/>
        </w:rPr>
      </w:pPr>
      <w:r>
        <w:rPr>
          <w:sz w:val="28"/>
          <w:szCs w:val="28"/>
        </w:rPr>
        <w:t>Politics, like nature, abhors a vacuum: something is bound to fill it.  The UN left behind it an absence of sovereignty in an important part of the world.  To the extent that these areas were unowned, the international community would be certain to be involved, as no events there could have fallen under domestic jurisdiction.  The situation demanded that the entire community of states be involved in all decisions there, each bringing their own interests and aims.  And certainly, any vacuum-filling actions would have to be conflictual.  The situation had started with all the states involved in the disposition of mandatory Palestine,</w:t>
      </w:r>
      <w:r>
        <w:rPr>
          <w:rStyle w:val="EndnoteReference"/>
          <w:sz w:val="28"/>
          <w:szCs w:val="28"/>
        </w:rPr>
        <w:endnoteReference w:id="146"/>
      </w:r>
      <w:r>
        <w:rPr>
          <w:sz w:val="28"/>
          <w:szCs w:val="28"/>
        </w:rPr>
        <w:t xml:space="preserve"> and leaving some of the land undefined meant that that would have to continue.  In this sense, the situation was, and is, analogous to “The Tragedy of the Commons”,</w:t>
      </w:r>
      <w:r>
        <w:rPr>
          <w:rStyle w:val="EndnoteReference"/>
          <w:sz w:val="28"/>
          <w:szCs w:val="28"/>
        </w:rPr>
        <w:endnoteReference w:id="147"/>
      </w:r>
      <w:r>
        <w:rPr>
          <w:sz w:val="28"/>
          <w:szCs w:val="28"/>
        </w:rPr>
        <w:t xml:space="preserve"> where a common, unowned resource is overexploited because </w:t>
      </w:r>
      <w:r>
        <w:rPr>
          <w:sz w:val="28"/>
          <w:szCs w:val="28"/>
        </w:rPr>
        <w:lastRenderedPageBreak/>
        <w:t>there is no single actor who feels responsible for its maintenance.  This makes the commons easy to exploit, but hard to make an investment in, protect, or defend in any way.  While true that they were nominally controlled, it could be argued that the anomalous nature of the unassigned lands allowed for more deniability in the cross-border attacks of the 1950s and 60s.  Syria also had an anomaly on its border with Israel, a de-militarized zone, and that allowed a certain latitude of action there.  Lebanon, where the international border coincided with the armistice line, had the fewest infractions.  Ambiguity, after all, was built into the armistice agreements, as Bunche had intended.</w:t>
      </w:r>
      <w:r>
        <w:rPr>
          <w:rStyle w:val="EndnoteReference"/>
          <w:sz w:val="28"/>
          <w:szCs w:val="28"/>
        </w:rPr>
        <w:endnoteReference w:id="148"/>
      </w:r>
      <w:r>
        <w:rPr>
          <w:sz w:val="28"/>
          <w:szCs w:val="28"/>
        </w:rPr>
        <w:t xml:space="preserve">  </w:t>
      </w:r>
    </w:p>
    <w:p w14:paraId="490D4DFC" w14:textId="77777777" w:rsidR="00E13BCB" w:rsidRDefault="00E13BCB" w:rsidP="00E13BCB">
      <w:pPr>
        <w:rPr>
          <w:sz w:val="28"/>
          <w:szCs w:val="28"/>
        </w:rPr>
      </w:pPr>
    </w:p>
    <w:p w14:paraId="1E759052" w14:textId="77777777" w:rsidR="00E13BCB" w:rsidRDefault="00E13BCB" w:rsidP="00E13BCB">
      <w:pPr>
        <w:rPr>
          <w:sz w:val="28"/>
          <w:szCs w:val="28"/>
        </w:rPr>
      </w:pPr>
      <w:r>
        <w:rPr>
          <w:sz w:val="28"/>
          <w:szCs w:val="28"/>
        </w:rPr>
        <w:t>The costs of ambiguity to the possibilities of a settlement were quickly apparent.  In some of the SC’s first discussions of the war, the UK leads with a legal argument why the unclear status of the various areas of mandated Palestine should keep the UN from intervening.</w:t>
      </w:r>
      <w:r>
        <w:rPr>
          <w:rStyle w:val="EndnoteReference"/>
          <w:sz w:val="28"/>
          <w:szCs w:val="28"/>
        </w:rPr>
        <w:endnoteReference w:id="149"/>
      </w:r>
      <w:r>
        <w:rPr>
          <w:sz w:val="28"/>
          <w:szCs w:val="28"/>
        </w:rPr>
        <w:t xml:space="preserve">  The UK, with others, was successful at this time in keeping the UN from taking action that might have created a cease-fire.  This was still early in the conflict, and the UK was interested in allowing their allies some time to achieve their aims in the fighting.  Later, as they realized that their primary ally, Jordan, had achieved its aims and Egypt wouldn’t, they found justifications for supporting cease-fires.  Still later in the war, UK Middle East officials were meeting and concluded that </w:t>
      </w:r>
      <w:r w:rsidRPr="00B00AD3">
        <w:rPr>
          <w:sz w:val="28"/>
          <w:szCs w:val="28"/>
        </w:rPr>
        <w:t>“the delay in the incorporation of Arab Palestine in Jordan was an invitation to Israel to expand.</w:t>
      </w:r>
      <w:r>
        <w:rPr>
          <w:sz w:val="28"/>
          <w:szCs w:val="28"/>
        </w:rPr>
        <w:t>”</w:t>
      </w:r>
      <w:r>
        <w:rPr>
          <w:rStyle w:val="EndnoteReference"/>
          <w:sz w:val="28"/>
          <w:szCs w:val="28"/>
        </w:rPr>
        <w:endnoteReference w:id="150"/>
      </w:r>
      <w:r>
        <w:rPr>
          <w:sz w:val="28"/>
          <w:szCs w:val="28"/>
        </w:rPr>
        <w:t xml:space="preserve">  Israel  understood that invading a place clearly owned would have different ramifications in international law than invading the unassigned West Bank.  The UK also worried about this possibility in 1C discussions: </w:t>
      </w:r>
    </w:p>
    <w:p w14:paraId="1F2E501D" w14:textId="77777777" w:rsidR="00E13BCB" w:rsidRPr="00521BB1" w:rsidRDefault="00E13BCB" w:rsidP="00E13BCB">
      <w:pPr>
        <w:ind w:left="720"/>
        <w:rPr>
          <w:sz w:val="28"/>
          <w:szCs w:val="28"/>
        </w:rPr>
      </w:pPr>
      <w:r>
        <w:rPr>
          <w:sz w:val="28"/>
          <w:szCs w:val="28"/>
        </w:rPr>
        <w:t>“</w:t>
      </w:r>
      <w:r w:rsidRPr="00521BB1">
        <w:rPr>
          <w:sz w:val="28"/>
          <w:szCs w:val="28"/>
        </w:rPr>
        <w:t xml:space="preserve">Mr. </w:t>
      </w:r>
      <w:proofErr w:type="spellStart"/>
      <w:r w:rsidRPr="00521BB1">
        <w:rPr>
          <w:sz w:val="28"/>
          <w:szCs w:val="28"/>
        </w:rPr>
        <w:t>Eban</w:t>
      </w:r>
      <w:proofErr w:type="spellEnd"/>
      <w:r>
        <w:rPr>
          <w:sz w:val="28"/>
          <w:szCs w:val="28"/>
        </w:rPr>
        <w:t xml:space="preserve"> </w:t>
      </w:r>
      <w:r w:rsidRPr="00521BB1">
        <w:rPr>
          <w:sz w:val="28"/>
          <w:szCs w:val="28"/>
        </w:rPr>
        <w:t>apparently considered that because no Arab</w:t>
      </w:r>
      <w:r>
        <w:rPr>
          <w:sz w:val="28"/>
          <w:szCs w:val="28"/>
        </w:rPr>
        <w:t xml:space="preserve"> </w:t>
      </w:r>
      <w:r w:rsidRPr="00521BB1">
        <w:rPr>
          <w:sz w:val="28"/>
          <w:szCs w:val="28"/>
        </w:rPr>
        <w:t>State had been created, there should be a second</w:t>
      </w:r>
      <w:r>
        <w:rPr>
          <w:sz w:val="28"/>
          <w:szCs w:val="28"/>
        </w:rPr>
        <w:t xml:space="preserve"> </w:t>
      </w:r>
      <w:r w:rsidRPr="00521BB1">
        <w:rPr>
          <w:sz w:val="28"/>
          <w:szCs w:val="28"/>
        </w:rPr>
        <w:t>international division to decide the future of</w:t>
      </w:r>
      <w:r>
        <w:rPr>
          <w:sz w:val="28"/>
          <w:szCs w:val="28"/>
        </w:rPr>
        <w:t xml:space="preserve"> </w:t>
      </w:r>
      <w:r w:rsidRPr="00521BB1">
        <w:rPr>
          <w:sz w:val="28"/>
          <w:szCs w:val="28"/>
        </w:rPr>
        <w:t>those territories. Mr. McNeil hoped that the</w:t>
      </w:r>
      <w:r>
        <w:rPr>
          <w:sz w:val="28"/>
          <w:szCs w:val="28"/>
        </w:rPr>
        <w:t xml:space="preserve"> </w:t>
      </w:r>
      <w:r w:rsidRPr="00521BB1">
        <w:rPr>
          <w:sz w:val="28"/>
          <w:szCs w:val="28"/>
        </w:rPr>
        <w:t>Government of Israel would not take the strange</w:t>
      </w:r>
      <w:r>
        <w:rPr>
          <w:sz w:val="28"/>
          <w:szCs w:val="28"/>
        </w:rPr>
        <w:t xml:space="preserve"> </w:t>
      </w:r>
      <w:r w:rsidRPr="00521BB1">
        <w:rPr>
          <w:sz w:val="28"/>
          <w:szCs w:val="28"/>
        </w:rPr>
        <w:t>view that the Arab territory of Palestine was a</w:t>
      </w:r>
    </w:p>
    <w:p w14:paraId="4EC43676" w14:textId="77777777" w:rsidR="00E13BCB" w:rsidRDefault="00E13BCB" w:rsidP="00E13BCB">
      <w:pPr>
        <w:ind w:left="720"/>
        <w:rPr>
          <w:sz w:val="28"/>
          <w:szCs w:val="28"/>
        </w:rPr>
      </w:pPr>
      <w:r w:rsidRPr="00521BB1">
        <w:rPr>
          <w:sz w:val="28"/>
          <w:szCs w:val="28"/>
        </w:rPr>
        <w:t>cake to the slices of which it had equal title with the</w:t>
      </w:r>
      <w:r>
        <w:rPr>
          <w:sz w:val="28"/>
          <w:szCs w:val="28"/>
        </w:rPr>
        <w:t xml:space="preserve"> </w:t>
      </w:r>
      <w:r w:rsidRPr="00521BB1">
        <w:rPr>
          <w:sz w:val="28"/>
          <w:szCs w:val="28"/>
        </w:rPr>
        <w:t>adjacent Arab States.</w:t>
      </w:r>
      <w:r>
        <w:rPr>
          <w:rStyle w:val="EndnoteReference"/>
          <w:sz w:val="28"/>
          <w:szCs w:val="28"/>
        </w:rPr>
        <w:endnoteReference w:id="151"/>
      </w:r>
    </w:p>
    <w:p w14:paraId="586A231C" w14:textId="77777777" w:rsidR="00E13BCB" w:rsidRDefault="00E13BCB" w:rsidP="00E13BCB">
      <w:pPr>
        <w:rPr>
          <w:sz w:val="28"/>
          <w:szCs w:val="28"/>
        </w:rPr>
      </w:pPr>
      <w:r>
        <w:rPr>
          <w:sz w:val="28"/>
          <w:szCs w:val="28"/>
        </w:rPr>
        <w:t xml:space="preserve">Of course, that is what the UK was looking to do in advocating that the West Bank be given to Jordan.  Small states understood what must become of lawless territory: </w:t>
      </w:r>
      <w:r w:rsidRPr="00177490">
        <w:rPr>
          <w:sz w:val="28"/>
          <w:szCs w:val="28"/>
        </w:rPr>
        <w:t>“When the UK had given up its Mandate, Palestine had become a no-man’s land with no recognized authority, and the existence of the Arab and J</w:t>
      </w:r>
      <w:r>
        <w:rPr>
          <w:sz w:val="28"/>
          <w:szCs w:val="28"/>
        </w:rPr>
        <w:t>ewish</w:t>
      </w:r>
      <w:r w:rsidRPr="00177490">
        <w:rPr>
          <w:sz w:val="28"/>
          <w:szCs w:val="28"/>
        </w:rPr>
        <w:t xml:space="preserve"> communities had depended entirely upon their own strength.</w:t>
      </w:r>
      <w:r>
        <w:rPr>
          <w:sz w:val="28"/>
          <w:szCs w:val="28"/>
        </w:rPr>
        <w:t>”</w:t>
      </w:r>
      <w:r>
        <w:rPr>
          <w:rStyle w:val="EndnoteReference"/>
          <w:sz w:val="28"/>
          <w:szCs w:val="28"/>
        </w:rPr>
        <w:endnoteReference w:id="152"/>
      </w:r>
      <w:r>
        <w:rPr>
          <w:sz w:val="28"/>
          <w:szCs w:val="28"/>
        </w:rPr>
        <w:t xml:space="preserve"> Ambiguities can be used to whatever ends, which, as St </w:t>
      </w:r>
      <w:proofErr w:type="spellStart"/>
      <w:r>
        <w:rPr>
          <w:sz w:val="28"/>
          <w:szCs w:val="28"/>
        </w:rPr>
        <w:t>Korowicz</w:t>
      </w:r>
      <w:proofErr w:type="spellEnd"/>
      <w:r>
        <w:rPr>
          <w:sz w:val="28"/>
          <w:szCs w:val="28"/>
        </w:rPr>
        <w:t xml:space="preserve"> understood, makes them useful to powerful players.  Weak players, understanding that those </w:t>
      </w:r>
      <w:r>
        <w:rPr>
          <w:sz w:val="28"/>
          <w:szCs w:val="28"/>
        </w:rPr>
        <w:lastRenderedPageBreak/>
        <w:t xml:space="preserve">ambiguities will breed conflicts that they won’t do well in, look to clarity in the law.   </w:t>
      </w:r>
    </w:p>
    <w:p w14:paraId="7AD1C5A1" w14:textId="77777777" w:rsidR="00E13BCB" w:rsidRDefault="00E13BCB" w:rsidP="00E13BCB">
      <w:pPr>
        <w:rPr>
          <w:sz w:val="28"/>
          <w:szCs w:val="28"/>
        </w:rPr>
      </w:pPr>
    </w:p>
    <w:p w14:paraId="5C97B73C" w14:textId="77777777" w:rsidR="00E13BCB" w:rsidRDefault="00E13BCB" w:rsidP="00E13BCB">
      <w:pPr>
        <w:rPr>
          <w:sz w:val="28"/>
          <w:szCs w:val="28"/>
        </w:rPr>
      </w:pPr>
      <w:r>
        <w:rPr>
          <w:sz w:val="28"/>
          <w:szCs w:val="28"/>
        </w:rPr>
        <w:t>Ambiguities of sovereignty also complicate peacemaking.  After the 1967 war, there was some talk of offering the West Bank back to Jordan in return for a peace agreement.  However, why would Jordan have been willing to negotiate away its standing in the Arab world, as well as its legitimacy with many of its own citizens in return for a piece of land that it wouldn’t gain the rights to?</w:t>
      </w:r>
      <w:r>
        <w:rPr>
          <w:rStyle w:val="EndnoteReference"/>
          <w:sz w:val="28"/>
          <w:szCs w:val="28"/>
        </w:rPr>
        <w:endnoteReference w:id="153"/>
      </w:r>
      <w:r>
        <w:rPr>
          <w:sz w:val="28"/>
          <w:szCs w:val="28"/>
        </w:rPr>
        <w:t xml:space="preserve">  That would make no sense.   The UK had already come up against this problem in the late 1930s when it was considering offering Germany the mandate over Tanganyika in an effort at appeasement.  When they realized that they would be offering nothing of value, the notion was dropped.</w:t>
      </w:r>
      <w:r>
        <w:rPr>
          <w:rStyle w:val="EndnoteReference"/>
          <w:sz w:val="28"/>
          <w:szCs w:val="28"/>
        </w:rPr>
        <w:endnoteReference w:id="154"/>
      </w:r>
      <w:r>
        <w:rPr>
          <w:sz w:val="28"/>
          <w:szCs w:val="28"/>
        </w:rPr>
        <w:t xml:space="preserve">   The Fourth Geneva Convention, to which Israel is a signatory, covers humanitarian protections for civilians in wartime, also fell prey to the ambiguities of sovereignty.   Rubinstein is clear that the Israeli government backed out of applying the Convention to the occupied territories because it felt that “…there are certain prior factual and legal conditions which must be proven to exist before one can conclude that a certain convention applies…” and that the problem was sovereignty.</w:t>
      </w:r>
      <w:r>
        <w:rPr>
          <w:rStyle w:val="EndnoteReference"/>
          <w:sz w:val="28"/>
          <w:szCs w:val="28"/>
        </w:rPr>
        <w:endnoteReference w:id="155"/>
      </w:r>
    </w:p>
    <w:p w14:paraId="435D5B7A" w14:textId="77777777" w:rsidR="00E13BCB" w:rsidRDefault="00E13BCB" w:rsidP="00E13BCB">
      <w:pPr>
        <w:rPr>
          <w:sz w:val="28"/>
          <w:szCs w:val="28"/>
        </w:rPr>
      </w:pPr>
    </w:p>
    <w:p w14:paraId="6F8B39A0" w14:textId="77777777" w:rsidR="00E13BCB" w:rsidRDefault="00E13BCB" w:rsidP="00E13BCB">
      <w:pPr>
        <w:rPr>
          <w:sz w:val="28"/>
          <w:szCs w:val="28"/>
        </w:rPr>
      </w:pPr>
      <w:r>
        <w:rPr>
          <w:sz w:val="28"/>
          <w:szCs w:val="28"/>
        </w:rPr>
        <w:t xml:space="preserve">Hall, writing in 1948, was clear on the costs of ambiguity: </w:t>
      </w:r>
    </w:p>
    <w:p w14:paraId="4B2E94F4" w14:textId="77777777" w:rsidR="00E13BCB" w:rsidRDefault="00E13BCB" w:rsidP="00E13BCB">
      <w:pPr>
        <w:ind w:left="720"/>
        <w:rPr>
          <w:sz w:val="28"/>
          <w:szCs w:val="28"/>
        </w:rPr>
      </w:pPr>
      <w:r w:rsidRPr="00636019">
        <w:rPr>
          <w:sz w:val="28"/>
          <w:szCs w:val="28"/>
        </w:rPr>
        <w:t>“The element of political uncertainty was due partly, but not wholly, to this legal difficulty [unsettled sovereignty].  The idea that a mandated territory was a kind of no man’s land outside any national sovereignty, and that the condition was essentially of a temporary character, was an open invitation to propaganda and political pressures exercised through the League and outside it.  Mandates were something left in the kitty for Germany once she regained her place as a great power or for late-comers to the colonial table.”</w:t>
      </w:r>
      <w:r>
        <w:rPr>
          <w:rStyle w:val="EndnoteReference"/>
          <w:sz w:val="28"/>
          <w:szCs w:val="28"/>
        </w:rPr>
        <w:endnoteReference w:id="156"/>
      </w:r>
    </w:p>
    <w:p w14:paraId="551528C9" w14:textId="77777777" w:rsidR="00E13BCB" w:rsidRPr="0078126C" w:rsidRDefault="00E13BCB" w:rsidP="00E13BCB">
      <w:pPr>
        <w:rPr>
          <w:sz w:val="28"/>
          <w:szCs w:val="28"/>
        </w:rPr>
      </w:pPr>
      <w:r>
        <w:rPr>
          <w:sz w:val="28"/>
          <w:szCs w:val="28"/>
        </w:rPr>
        <w:t xml:space="preserve">Moreover, it wasn’t just that this was clear to thinkers in 1948; it was entirely clear in 1919 as well: </w:t>
      </w:r>
      <w:r w:rsidRPr="0078126C">
        <w:rPr>
          <w:sz w:val="28"/>
          <w:szCs w:val="28"/>
        </w:rPr>
        <w:t>“What was to happen to South West Africa was fully predicted in advance by Mr. Balfour in a memorandum written during the Paris Peace Conference in 1919.  He was of the opinion that a moveable mandatory might supply a perpetual incentive to agitation and intrigue.”</w:t>
      </w:r>
      <w:r>
        <w:rPr>
          <w:rStyle w:val="EndnoteReference"/>
          <w:sz w:val="28"/>
          <w:szCs w:val="28"/>
        </w:rPr>
        <w:endnoteReference w:id="157"/>
      </w:r>
      <w:r w:rsidRPr="0078126C">
        <w:rPr>
          <w:sz w:val="28"/>
          <w:szCs w:val="28"/>
        </w:rPr>
        <w:t xml:space="preserve"> </w:t>
      </w:r>
      <w:r>
        <w:rPr>
          <w:sz w:val="28"/>
          <w:szCs w:val="28"/>
        </w:rPr>
        <w:t xml:space="preserve">If the lessons were so clear, and the UN’s newly-formed Trusteeship Council already had a goal to move its trusts to </w:t>
      </w:r>
      <w:proofErr w:type="gramStart"/>
      <w:r>
        <w:rPr>
          <w:sz w:val="28"/>
          <w:szCs w:val="28"/>
        </w:rPr>
        <w:t>clear</w:t>
      </w:r>
      <w:proofErr w:type="gramEnd"/>
      <w:r>
        <w:rPr>
          <w:sz w:val="28"/>
          <w:szCs w:val="28"/>
        </w:rPr>
        <w:t xml:space="preserve"> state status quickly, why was an exception made in this one case?</w:t>
      </w:r>
    </w:p>
    <w:p w14:paraId="27CA8030" w14:textId="77777777" w:rsidR="00E13BCB" w:rsidRDefault="00E13BCB" w:rsidP="00E13BCB">
      <w:pPr>
        <w:rPr>
          <w:sz w:val="28"/>
          <w:szCs w:val="28"/>
        </w:rPr>
      </w:pPr>
    </w:p>
    <w:p w14:paraId="1EA46AC3" w14:textId="77777777" w:rsidR="00E13BCB" w:rsidRDefault="00E13BCB" w:rsidP="00E13BCB">
      <w:pPr>
        <w:rPr>
          <w:sz w:val="28"/>
          <w:szCs w:val="28"/>
        </w:rPr>
      </w:pPr>
      <w:r>
        <w:rPr>
          <w:sz w:val="28"/>
          <w:szCs w:val="28"/>
        </w:rPr>
        <w:lastRenderedPageBreak/>
        <w:t>High costs were assessed on the possibility of development in the area as well.  Secure legal title is one of the foundations of investment, and none of the states that has held the area, including the modern nascent state of Palestine, has held secure title.  In this environment, investment is tenuous and will naturally be suppressed.  Jordan preferred investment in the East Bank, where conditions for investment were normal, though there are a variety of reasons for this.</w:t>
      </w:r>
      <w:r>
        <w:rPr>
          <w:rStyle w:val="EndnoteReference"/>
          <w:sz w:val="28"/>
          <w:szCs w:val="28"/>
        </w:rPr>
        <w:endnoteReference w:id="158"/>
      </w:r>
      <w:r>
        <w:rPr>
          <w:sz w:val="28"/>
          <w:szCs w:val="28"/>
        </w:rPr>
        <w:t xml:space="preserve">   Still, why would any nation seek development money and then put it into an area that it might not keep?   This must be one of the reasons that by 1954, only 5% of the development funds already allocated for Palestinian refugees had been spent.</w:t>
      </w:r>
      <w:r>
        <w:rPr>
          <w:rStyle w:val="EndnoteReference"/>
          <w:sz w:val="28"/>
          <w:szCs w:val="28"/>
        </w:rPr>
        <w:endnoteReference w:id="159"/>
      </w:r>
      <w:r>
        <w:rPr>
          <w:sz w:val="28"/>
          <w:szCs w:val="28"/>
        </w:rPr>
        <w:t xml:space="preserve">  As with so many of the problems of non-existent title, the international community was already acquainted with this.  Pedersen mentions that the problem of raising capital was already apparent in the 1920s: </w:t>
      </w:r>
      <w:r w:rsidRPr="00225803">
        <w:rPr>
          <w:sz w:val="28"/>
          <w:szCs w:val="28"/>
        </w:rPr>
        <w:t>“The mandated territories needed capital for infrastructural development and commercial enterprises, but who would wish to put their money in a territory that could be transferred at any moment to another party?”</w:t>
      </w:r>
      <w:r>
        <w:rPr>
          <w:rStyle w:val="EndnoteReference"/>
          <w:sz w:val="28"/>
          <w:szCs w:val="28"/>
        </w:rPr>
        <w:endnoteReference w:id="160"/>
      </w:r>
      <w:r>
        <w:rPr>
          <w:sz w:val="28"/>
          <w:szCs w:val="28"/>
        </w:rPr>
        <w:t xml:space="preserve">  There is some evidence that this is a problem that effects the West Bank to this day.</w:t>
      </w:r>
      <w:r>
        <w:rPr>
          <w:rStyle w:val="EndnoteReference"/>
          <w:sz w:val="28"/>
          <w:szCs w:val="28"/>
        </w:rPr>
        <w:endnoteReference w:id="161"/>
      </w:r>
      <w:r>
        <w:rPr>
          <w:sz w:val="28"/>
          <w:szCs w:val="28"/>
        </w:rPr>
        <w:t xml:space="preserve">  While there are certainly many reasons for the investment climate in the West Bank to be poor, sovereignty must be one of them.  This problem undercut the basic US approach to the refugees: if they were employed, they would be </w:t>
      </w:r>
      <w:proofErr w:type="gramStart"/>
      <w:r>
        <w:rPr>
          <w:sz w:val="28"/>
          <w:szCs w:val="28"/>
        </w:rPr>
        <w:t>settled</w:t>
      </w:r>
      <w:proofErr w:type="gramEnd"/>
      <w:r>
        <w:rPr>
          <w:sz w:val="28"/>
          <w:szCs w:val="28"/>
        </w:rPr>
        <w:t xml:space="preserve"> and the problem would resolve itself over time.  This was an approach that was working in Europe under the Marshall Plan, and the expectation was that it would work in the Middle East as well.</w:t>
      </w:r>
      <w:r>
        <w:rPr>
          <w:rStyle w:val="EndnoteReference"/>
          <w:sz w:val="28"/>
          <w:szCs w:val="28"/>
        </w:rPr>
        <w:endnoteReference w:id="162"/>
      </w:r>
      <w:r>
        <w:rPr>
          <w:sz w:val="28"/>
          <w:szCs w:val="28"/>
        </w:rPr>
        <w:t xml:space="preserve">  In this case, however, all the elements conspired against its success: neither the refugees nor the Arab governments (with the exception of Jordan) wanted the refugees settled, the international community had already declared that they ought to be repatriated, and the investment climate was such that private money would not augment international aid.</w:t>
      </w:r>
    </w:p>
    <w:p w14:paraId="24A06C98" w14:textId="77777777" w:rsidR="00E13BCB" w:rsidRDefault="00E13BCB" w:rsidP="00E13BCB">
      <w:pPr>
        <w:rPr>
          <w:sz w:val="28"/>
          <w:szCs w:val="28"/>
        </w:rPr>
      </w:pPr>
    </w:p>
    <w:p w14:paraId="3972CE13" w14:textId="77777777" w:rsidR="00E13BCB" w:rsidRPr="009F3279" w:rsidRDefault="00E13BCB" w:rsidP="00E13BCB">
      <w:pPr>
        <w:rPr>
          <w:b/>
          <w:sz w:val="28"/>
          <w:szCs w:val="28"/>
        </w:rPr>
      </w:pPr>
      <w:r w:rsidRPr="009F3279">
        <w:rPr>
          <w:b/>
          <w:sz w:val="28"/>
          <w:szCs w:val="28"/>
        </w:rPr>
        <w:t>Into a Void</w:t>
      </w:r>
    </w:p>
    <w:p w14:paraId="045873FD" w14:textId="77777777" w:rsidR="00E13BCB" w:rsidRDefault="00E13BCB" w:rsidP="00E13BCB"/>
    <w:p w14:paraId="50667685" w14:textId="77777777" w:rsidR="00E13BCB" w:rsidRDefault="00E13BCB" w:rsidP="00E13BCB"/>
    <w:p w14:paraId="05DD9C58" w14:textId="77777777" w:rsidR="00E13BCB" w:rsidRDefault="00E13BCB" w:rsidP="00E13BCB">
      <w:pPr>
        <w:rPr>
          <w:sz w:val="28"/>
          <w:szCs w:val="28"/>
        </w:rPr>
      </w:pPr>
      <w:r>
        <w:rPr>
          <w:sz w:val="28"/>
          <w:szCs w:val="28"/>
        </w:rPr>
        <w:t xml:space="preserve">Quincy Wright already knew that there would be costs to ambiguity: </w:t>
      </w:r>
      <w:r w:rsidRPr="00D33286">
        <w:rPr>
          <w:sz w:val="28"/>
          <w:szCs w:val="28"/>
        </w:rPr>
        <w:t>“Experience has shown that complex political structures of this kind</w:t>
      </w:r>
      <w:r>
        <w:rPr>
          <w:sz w:val="28"/>
          <w:szCs w:val="28"/>
        </w:rPr>
        <w:t xml:space="preserve"> </w:t>
      </w:r>
      <w:r w:rsidRPr="00D33286">
        <w:rPr>
          <w:sz w:val="28"/>
          <w:szCs w:val="28"/>
        </w:rPr>
        <w:t>[mandates, or more generally, situations of unclear sov</w:t>
      </w:r>
      <w:r>
        <w:rPr>
          <w:sz w:val="28"/>
          <w:szCs w:val="28"/>
        </w:rPr>
        <w:t>ereignty</w:t>
      </w:r>
      <w:r w:rsidRPr="00D33286">
        <w:rPr>
          <w:sz w:val="28"/>
          <w:szCs w:val="28"/>
        </w:rPr>
        <w:t>] are likely to be unstable.”</w:t>
      </w:r>
      <w:r>
        <w:rPr>
          <w:rStyle w:val="EndnoteReference"/>
          <w:sz w:val="28"/>
          <w:szCs w:val="28"/>
        </w:rPr>
        <w:endnoteReference w:id="163"/>
      </w:r>
      <w:r>
        <w:rPr>
          <w:sz w:val="28"/>
          <w:szCs w:val="28"/>
        </w:rPr>
        <w:t xml:space="preserve">  He goes on to give some examples of the natural evolution of political states from ambiguity and complexity to simplicity, a sort of a political rule of entropy. Sure enough, all of the LN’s experiments in sovereignty reverted to simpler forms. Memel and Danzig were taken over by nations; the Saar and Schleswig had their plebiscites and were absorbed; all the mandates eventually became nations.  The </w:t>
      </w:r>
      <w:r>
        <w:rPr>
          <w:sz w:val="28"/>
          <w:szCs w:val="28"/>
        </w:rPr>
        <w:lastRenderedPageBreak/>
        <w:t xml:space="preserve">one attempt of this sort after WWII, Trieste, was divided and absorbed as well.  Of course, before they reverted to simpler forms, they were all objects of conflict, contention, instigation, recrimination, accusation, and violence.  Where there is ambiguity in the law and something of value is at stake, it must be contested.  Could we expect anything less?   The instability that even Wright, an advocate of ambiguity, saw, is potential energy that manifests as conflict.   A comparison of the longevity of mandates, a </w:t>
      </w:r>
      <w:r w:rsidRPr="002D2437">
        <w:rPr>
          <w:i/>
          <w:sz w:val="28"/>
          <w:szCs w:val="28"/>
        </w:rPr>
        <w:t>sui generis</w:t>
      </w:r>
      <w:r>
        <w:rPr>
          <w:sz w:val="28"/>
          <w:szCs w:val="28"/>
        </w:rPr>
        <w:t xml:space="preserve"> experiment that ran its course in perhaps 30 years, with colonialism and empire gives a sense of just how unstable they were, and every one of those 30 years was contested by multiple parties.  Could the delegates at the UN have imagined that land without sovereignty wouldn’t engender conflict?  </w:t>
      </w:r>
    </w:p>
    <w:p w14:paraId="21C38F26" w14:textId="77777777" w:rsidR="00E13BCB" w:rsidRDefault="00E13BCB" w:rsidP="00E13BCB">
      <w:pPr>
        <w:rPr>
          <w:sz w:val="28"/>
          <w:szCs w:val="28"/>
        </w:rPr>
      </w:pPr>
    </w:p>
    <w:p w14:paraId="66575A9A" w14:textId="77777777" w:rsidR="00E13BCB" w:rsidRDefault="00E13BCB" w:rsidP="00E13BCB">
      <w:pPr>
        <w:rPr>
          <w:sz w:val="28"/>
          <w:szCs w:val="28"/>
        </w:rPr>
      </w:pPr>
      <w:r>
        <w:rPr>
          <w:sz w:val="28"/>
          <w:szCs w:val="28"/>
        </w:rPr>
        <w:t xml:space="preserve">If there was no sovereignty, what might there have been there?  St </w:t>
      </w:r>
      <w:proofErr w:type="spellStart"/>
      <w:r>
        <w:rPr>
          <w:sz w:val="28"/>
          <w:szCs w:val="28"/>
        </w:rPr>
        <w:t>Korowicz</w:t>
      </w:r>
      <w:proofErr w:type="spellEnd"/>
      <w:r>
        <w:rPr>
          <w:sz w:val="28"/>
          <w:szCs w:val="28"/>
        </w:rPr>
        <w:t>, always seeking clarity, quotes this inverse relationship from Sir John Fisher Williams</w:t>
      </w:r>
      <w:proofErr w:type="gramStart"/>
      <w:r>
        <w:rPr>
          <w:sz w:val="28"/>
          <w:szCs w:val="28"/>
        </w:rPr>
        <w:t>: ”What</w:t>
      </w:r>
      <w:proofErr w:type="gramEnd"/>
      <w:r w:rsidRPr="00B67047">
        <w:rPr>
          <w:sz w:val="28"/>
          <w:szCs w:val="28"/>
        </w:rPr>
        <w:t xml:space="preserve"> is sovereignty is not law, what is law is not sovereignty.  All law is based on an abandonment of sovereignty.”</w:t>
      </w:r>
      <w:r>
        <w:rPr>
          <w:rStyle w:val="EndnoteReference"/>
          <w:sz w:val="28"/>
          <w:szCs w:val="28"/>
        </w:rPr>
        <w:endnoteReference w:id="164"/>
      </w:r>
      <w:r>
        <w:rPr>
          <w:sz w:val="28"/>
          <w:szCs w:val="28"/>
        </w:rPr>
        <w:t xml:space="preserve">  If this is so and there is no sovereignty, then surely there must be great heaps of law, because there has to be something.  Unfortunately, this simply isn’t so.  </w:t>
      </w:r>
      <w:proofErr w:type="spellStart"/>
      <w:r>
        <w:rPr>
          <w:sz w:val="28"/>
          <w:szCs w:val="28"/>
        </w:rPr>
        <w:t>Rosenne</w:t>
      </w:r>
      <w:proofErr w:type="spellEnd"/>
      <w:r>
        <w:rPr>
          <w:sz w:val="28"/>
          <w:szCs w:val="28"/>
        </w:rPr>
        <w:t xml:space="preserve"> is clear: “In the Middle East situation, the general rules of international law have not been allowed to operate at all.  This is symbolized on the general level by the refusal of the Arab states to recognize Israel…”</w:t>
      </w:r>
      <w:r>
        <w:rPr>
          <w:rStyle w:val="EndnoteReference"/>
          <w:sz w:val="28"/>
          <w:szCs w:val="28"/>
        </w:rPr>
        <w:endnoteReference w:id="165"/>
      </w:r>
      <w:r>
        <w:rPr>
          <w:sz w:val="28"/>
          <w:szCs w:val="28"/>
        </w:rPr>
        <w:t xml:space="preserve">  He goes on to explain a fundamental problem that keeps international law from operating: “In the second place, it must be recalled that one of the fundamental principles for the effective operation of international law in any circumstances is the principal of reciprocity.  The rules of international law are abstractions until they come to be reciprocally applied in concrete situations.”</w:t>
      </w:r>
      <w:r>
        <w:rPr>
          <w:rStyle w:val="EndnoteReference"/>
          <w:sz w:val="28"/>
          <w:szCs w:val="28"/>
        </w:rPr>
        <w:endnoteReference w:id="166"/>
      </w:r>
      <w:r>
        <w:rPr>
          <w:sz w:val="28"/>
          <w:szCs w:val="28"/>
        </w:rPr>
        <w:t xml:space="preserve">  </w:t>
      </w:r>
      <w:proofErr w:type="spellStart"/>
      <w:r>
        <w:rPr>
          <w:sz w:val="28"/>
          <w:szCs w:val="28"/>
        </w:rPr>
        <w:t>Rosenne</w:t>
      </w:r>
      <w:proofErr w:type="spellEnd"/>
      <w:r>
        <w:rPr>
          <w:sz w:val="28"/>
          <w:szCs w:val="28"/>
        </w:rPr>
        <w:t xml:space="preserve"> is the only one to specify that international law isn’t at work in the conflict, but all the rest can see a hopelessly confusing muddle, which ought to be the same as not working at all.  </w:t>
      </w:r>
    </w:p>
    <w:p w14:paraId="403BAFD2" w14:textId="77777777" w:rsidR="00E13BCB" w:rsidRDefault="00E13BCB" w:rsidP="00E13BCB">
      <w:pPr>
        <w:rPr>
          <w:sz w:val="28"/>
          <w:szCs w:val="28"/>
        </w:rPr>
      </w:pPr>
    </w:p>
    <w:p w14:paraId="4CD4D804" w14:textId="77777777" w:rsidR="00E13BCB" w:rsidRDefault="00E13BCB" w:rsidP="00E13BCB">
      <w:pPr>
        <w:rPr>
          <w:sz w:val="28"/>
          <w:szCs w:val="28"/>
        </w:rPr>
      </w:pPr>
      <w:r>
        <w:rPr>
          <w:sz w:val="28"/>
          <w:szCs w:val="28"/>
        </w:rPr>
        <w:t xml:space="preserve">Wright offered his own inverse relationship, quoted in </w:t>
      </w:r>
      <w:proofErr w:type="spellStart"/>
      <w:r>
        <w:rPr>
          <w:sz w:val="28"/>
          <w:szCs w:val="28"/>
        </w:rPr>
        <w:t>fn</w:t>
      </w:r>
      <w:proofErr w:type="spellEnd"/>
      <w:r>
        <w:rPr>
          <w:sz w:val="28"/>
          <w:szCs w:val="28"/>
        </w:rPr>
        <w:t xml:space="preserve"> 12 above, between law and politics, positing that if there is too much law, the polity will be inflexible and need a revolution to change, and with too much politics, there will be wide, uncontrolled swings in policy and accompanying violence.  In this case, if we can accept that there is no law, then there is only politics, and we can expect outbreaks of violence.  The UN accepted that it was all politics by only addressing the conflict in the first committee. Should we be surprised that with so many differing interests in such a small space, making different assumptions about the </w:t>
      </w:r>
      <w:r>
        <w:rPr>
          <w:sz w:val="28"/>
          <w:szCs w:val="28"/>
        </w:rPr>
        <w:lastRenderedPageBreak/>
        <w:t xml:space="preserve">most fundamental elements of international law, that there would be violence?  The conditions set demanded it.  </w:t>
      </w:r>
    </w:p>
    <w:p w14:paraId="1C6FEB4B" w14:textId="77777777" w:rsidR="00E13BCB" w:rsidRDefault="00E13BCB" w:rsidP="00E13BCB">
      <w:pPr>
        <w:rPr>
          <w:sz w:val="28"/>
          <w:szCs w:val="28"/>
        </w:rPr>
      </w:pPr>
    </w:p>
    <w:p w14:paraId="0CA26DEC" w14:textId="77777777" w:rsidR="00E13BCB" w:rsidRDefault="00E13BCB" w:rsidP="00E13BCB">
      <w:pPr>
        <w:rPr>
          <w:sz w:val="28"/>
          <w:szCs w:val="28"/>
        </w:rPr>
      </w:pPr>
      <w:r>
        <w:rPr>
          <w:sz w:val="28"/>
          <w:szCs w:val="28"/>
        </w:rPr>
        <w:t>While international political conflict was accommodated</w:t>
      </w:r>
      <w:r>
        <w:rPr>
          <w:rStyle w:val="EndnoteReference"/>
          <w:sz w:val="28"/>
          <w:szCs w:val="28"/>
        </w:rPr>
        <w:endnoteReference w:id="167"/>
      </w:r>
      <w:r>
        <w:rPr>
          <w:sz w:val="28"/>
          <w:szCs w:val="28"/>
        </w:rPr>
        <w:t>, one more element can be stripped away: without recognition of Israel, there was also a lack of local interstate politics.</w:t>
      </w:r>
      <w:r>
        <w:rPr>
          <w:rStyle w:val="EndnoteReference"/>
          <w:sz w:val="28"/>
          <w:szCs w:val="28"/>
        </w:rPr>
        <w:endnoteReference w:id="168"/>
      </w:r>
      <w:r>
        <w:rPr>
          <w:sz w:val="28"/>
          <w:szCs w:val="28"/>
        </w:rPr>
        <w:t xml:space="preserve">  Rejection of Israel’s existence was well defined and policed by the AL for all its members.  Without mutual recognition or an agreement on the law that was being applied, communication was impossible.  </w:t>
      </w:r>
      <w:proofErr w:type="spellStart"/>
      <w:r>
        <w:rPr>
          <w:sz w:val="28"/>
          <w:szCs w:val="28"/>
        </w:rPr>
        <w:t>Rosenne</w:t>
      </w:r>
      <w:proofErr w:type="spellEnd"/>
      <w:r>
        <w:rPr>
          <w:sz w:val="28"/>
          <w:szCs w:val="28"/>
        </w:rPr>
        <w:t xml:space="preserve"> put it this way: </w:t>
      </w:r>
      <w:r w:rsidRPr="00F66138">
        <w:rPr>
          <w:sz w:val="28"/>
          <w:szCs w:val="28"/>
        </w:rPr>
        <w:t>“This factor</w:t>
      </w:r>
      <w:r>
        <w:rPr>
          <w:sz w:val="28"/>
          <w:szCs w:val="28"/>
        </w:rPr>
        <w:t xml:space="preserve"> [disagreement between the two sides as to the fundamental nature of the law to be applied]</w:t>
      </w:r>
      <w:r w:rsidRPr="00F66138">
        <w:rPr>
          <w:sz w:val="28"/>
          <w:szCs w:val="28"/>
        </w:rPr>
        <w:t xml:space="preserve"> is significant with regard to the Middle Eastern crisis because the more one probes into the matter, the more one is shocked by the absence of an accepted legal framework common to Israel and the Arab States within which debate is conducted…”</w:t>
      </w:r>
      <w:r>
        <w:rPr>
          <w:rStyle w:val="EndnoteReference"/>
          <w:sz w:val="28"/>
          <w:szCs w:val="28"/>
        </w:rPr>
        <w:endnoteReference w:id="169"/>
      </w:r>
      <w:r>
        <w:rPr>
          <w:sz w:val="28"/>
          <w:szCs w:val="28"/>
        </w:rPr>
        <w:t xml:space="preserve">  Which largely left a void.  Unlike the infinite formless void before the Creation, this is a small, though important, pocket of void, surrounded by law and politics, sovereignty and mutual recognition.  </w:t>
      </w:r>
    </w:p>
    <w:p w14:paraId="4E5FA9C3" w14:textId="77777777" w:rsidR="00E13BCB" w:rsidRDefault="00E13BCB" w:rsidP="00E13BCB">
      <w:pPr>
        <w:rPr>
          <w:sz w:val="28"/>
          <w:szCs w:val="28"/>
        </w:rPr>
      </w:pPr>
    </w:p>
    <w:p w14:paraId="47006C11" w14:textId="77777777" w:rsidR="00E13BCB" w:rsidRDefault="00E13BCB" w:rsidP="00E13BCB">
      <w:pPr>
        <w:rPr>
          <w:sz w:val="28"/>
          <w:szCs w:val="28"/>
        </w:rPr>
      </w:pPr>
      <w:r>
        <w:rPr>
          <w:sz w:val="28"/>
          <w:szCs w:val="28"/>
        </w:rPr>
        <w:t>Perhaps it was left there as an abject lesson of the costs of formlessness, but t</w:t>
      </w:r>
      <w:r w:rsidRPr="00237813">
        <w:rPr>
          <w:sz w:val="28"/>
          <w:szCs w:val="28"/>
        </w:rPr>
        <w:t>here is</w:t>
      </w:r>
      <w:r>
        <w:rPr>
          <w:sz w:val="28"/>
          <w:szCs w:val="28"/>
        </w:rPr>
        <w:t xml:space="preserve"> a</w:t>
      </w:r>
      <w:r w:rsidRPr="00237813">
        <w:rPr>
          <w:sz w:val="28"/>
          <w:szCs w:val="28"/>
        </w:rPr>
        <w:t xml:space="preserve"> romance to lawlessness, as our fascination with Westerns attests.  Strip away the constraints of the law</w:t>
      </w:r>
      <w:r>
        <w:rPr>
          <w:sz w:val="28"/>
          <w:szCs w:val="28"/>
        </w:rPr>
        <w:t xml:space="preserve"> and the civilities of politics,</w:t>
      </w:r>
      <w:r w:rsidRPr="00237813">
        <w:rPr>
          <w:sz w:val="28"/>
          <w:szCs w:val="28"/>
        </w:rPr>
        <w:t xml:space="preserve"> and what is left is force and morality.  </w:t>
      </w:r>
      <w:r>
        <w:rPr>
          <w:sz w:val="28"/>
          <w:szCs w:val="28"/>
        </w:rPr>
        <w:t>It isn’t only the lonely sheriff in the middle of the street simultaneously breaking and defending the law, t</w:t>
      </w:r>
      <w:r w:rsidRPr="00237813">
        <w:rPr>
          <w:sz w:val="28"/>
          <w:szCs w:val="28"/>
        </w:rPr>
        <w:t>he hard-boiled d</w:t>
      </w:r>
      <w:r>
        <w:rPr>
          <w:sz w:val="28"/>
          <w:szCs w:val="28"/>
        </w:rPr>
        <w:t>etective</w:t>
      </w:r>
      <w:r w:rsidRPr="00237813">
        <w:rPr>
          <w:sz w:val="28"/>
          <w:szCs w:val="28"/>
        </w:rPr>
        <w:t xml:space="preserve"> also knows that to achieve Justice, he will have to break the law, and force can be a tool of good against evil.  If the </w:t>
      </w:r>
      <w:r w:rsidRPr="00237813">
        <w:rPr>
          <w:i/>
          <w:sz w:val="28"/>
          <w:szCs w:val="28"/>
        </w:rPr>
        <w:t>Oresteia</w:t>
      </w:r>
      <w:r w:rsidRPr="00237813">
        <w:rPr>
          <w:sz w:val="28"/>
          <w:szCs w:val="28"/>
        </w:rPr>
        <w:t xml:space="preserve"> is the tale of the construction of the law as a protection against primitive, clannish morality and force, </w:t>
      </w:r>
      <w:r>
        <w:rPr>
          <w:sz w:val="28"/>
          <w:szCs w:val="28"/>
        </w:rPr>
        <w:t xml:space="preserve">we, </w:t>
      </w:r>
      <w:r w:rsidRPr="00237813">
        <w:rPr>
          <w:sz w:val="28"/>
          <w:szCs w:val="28"/>
        </w:rPr>
        <w:t xml:space="preserve">in a modern world, suffocated by law, dream of the clarity of right and wrong, unencumbered by weaselly technicalities that leave the guilty unpunished.  In the </w:t>
      </w:r>
      <w:r>
        <w:rPr>
          <w:sz w:val="28"/>
          <w:szCs w:val="28"/>
        </w:rPr>
        <w:t xml:space="preserve">early </w:t>
      </w:r>
      <w:r w:rsidRPr="00237813">
        <w:rPr>
          <w:sz w:val="28"/>
          <w:szCs w:val="28"/>
        </w:rPr>
        <w:t>Arab</w:t>
      </w:r>
      <w:r>
        <w:rPr>
          <w:sz w:val="28"/>
          <w:szCs w:val="28"/>
        </w:rPr>
        <w:t>/</w:t>
      </w:r>
      <w:r w:rsidRPr="00237813">
        <w:rPr>
          <w:sz w:val="28"/>
          <w:szCs w:val="28"/>
        </w:rPr>
        <w:t>Zionist</w:t>
      </w:r>
      <w:r>
        <w:rPr>
          <w:sz w:val="28"/>
          <w:szCs w:val="28"/>
        </w:rPr>
        <w:t xml:space="preserve"> </w:t>
      </w:r>
      <w:r w:rsidRPr="00237813">
        <w:rPr>
          <w:sz w:val="28"/>
          <w:szCs w:val="28"/>
        </w:rPr>
        <w:t xml:space="preserve">conflict, set in a </w:t>
      </w:r>
      <w:r>
        <w:rPr>
          <w:sz w:val="28"/>
          <w:szCs w:val="28"/>
        </w:rPr>
        <w:t xml:space="preserve">mental </w:t>
      </w:r>
      <w:r w:rsidRPr="00237813">
        <w:rPr>
          <w:sz w:val="28"/>
          <w:szCs w:val="28"/>
        </w:rPr>
        <w:t xml:space="preserve">landscape worthy of any Western, the </w:t>
      </w:r>
      <w:r>
        <w:rPr>
          <w:sz w:val="28"/>
          <w:szCs w:val="28"/>
        </w:rPr>
        <w:t>international community</w:t>
      </w:r>
      <w:r w:rsidRPr="00237813">
        <w:rPr>
          <w:sz w:val="28"/>
          <w:szCs w:val="28"/>
        </w:rPr>
        <w:t xml:space="preserve"> </w:t>
      </w:r>
      <w:r>
        <w:rPr>
          <w:sz w:val="28"/>
          <w:szCs w:val="28"/>
        </w:rPr>
        <w:t xml:space="preserve">allowed </w:t>
      </w:r>
      <w:r w:rsidRPr="00237813">
        <w:rPr>
          <w:sz w:val="28"/>
          <w:szCs w:val="28"/>
        </w:rPr>
        <w:t xml:space="preserve">the conflict </w:t>
      </w:r>
      <w:r>
        <w:rPr>
          <w:sz w:val="28"/>
          <w:szCs w:val="28"/>
        </w:rPr>
        <w:t xml:space="preserve">to be free </w:t>
      </w:r>
      <w:r w:rsidRPr="00237813">
        <w:rPr>
          <w:sz w:val="28"/>
          <w:szCs w:val="28"/>
        </w:rPr>
        <w:t xml:space="preserve">from law and </w:t>
      </w:r>
      <w:r>
        <w:rPr>
          <w:sz w:val="28"/>
          <w:szCs w:val="28"/>
        </w:rPr>
        <w:t>some aspects of politics</w:t>
      </w:r>
      <w:r w:rsidRPr="00237813">
        <w:rPr>
          <w:sz w:val="28"/>
          <w:szCs w:val="28"/>
        </w:rPr>
        <w:t xml:space="preserve">.  The field </w:t>
      </w:r>
      <w:r>
        <w:rPr>
          <w:sz w:val="28"/>
          <w:szCs w:val="28"/>
        </w:rPr>
        <w:t>was</w:t>
      </w:r>
      <w:r w:rsidRPr="00237813">
        <w:rPr>
          <w:sz w:val="28"/>
          <w:szCs w:val="28"/>
        </w:rPr>
        <w:t xml:space="preserve"> </w:t>
      </w:r>
      <w:r>
        <w:rPr>
          <w:sz w:val="28"/>
          <w:szCs w:val="28"/>
        </w:rPr>
        <w:t xml:space="preserve">left </w:t>
      </w:r>
      <w:r w:rsidRPr="00237813">
        <w:rPr>
          <w:sz w:val="28"/>
          <w:szCs w:val="28"/>
        </w:rPr>
        <w:t xml:space="preserve">open for violence and </w:t>
      </w:r>
      <w:r>
        <w:rPr>
          <w:sz w:val="28"/>
          <w:szCs w:val="28"/>
        </w:rPr>
        <w:t xml:space="preserve">perhaps the international community </w:t>
      </w:r>
      <w:r w:rsidRPr="00237813">
        <w:rPr>
          <w:sz w:val="28"/>
          <w:szCs w:val="28"/>
        </w:rPr>
        <w:t>pray</w:t>
      </w:r>
      <w:r>
        <w:rPr>
          <w:sz w:val="28"/>
          <w:szCs w:val="28"/>
        </w:rPr>
        <w:t>ed</w:t>
      </w:r>
      <w:r w:rsidRPr="00237813">
        <w:rPr>
          <w:sz w:val="28"/>
          <w:szCs w:val="28"/>
        </w:rPr>
        <w:t xml:space="preserve"> that good </w:t>
      </w:r>
      <w:r>
        <w:rPr>
          <w:sz w:val="28"/>
          <w:szCs w:val="28"/>
        </w:rPr>
        <w:t>might</w:t>
      </w:r>
      <w:r w:rsidRPr="00237813">
        <w:rPr>
          <w:sz w:val="28"/>
          <w:szCs w:val="28"/>
        </w:rPr>
        <w:t xml:space="preserve"> prevail.</w:t>
      </w:r>
      <w:r>
        <w:rPr>
          <w:sz w:val="28"/>
          <w:szCs w:val="28"/>
        </w:rPr>
        <w:t xml:space="preserve">  Or perhaps that two old enemies of the West, Jews and Arabs, might consume each other.</w:t>
      </w:r>
      <w:r w:rsidRPr="00237813">
        <w:rPr>
          <w:sz w:val="28"/>
          <w:szCs w:val="28"/>
        </w:rPr>
        <w:t xml:space="preserve">    If Jews have been the subject of stories for two millennia, and Arabs since the seventh century, </w:t>
      </w:r>
      <w:r>
        <w:rPr>
          <w:sz w:val="28"/>
          <w:szCs w:val="28"/>
        </w:rPr>
        <w:t xml:space="preserve">the international community then gave </w:t>
      </w:r>
      <w:r w:rsidRPr="00237813">
        <w:rPr>
          <w:sz w:val="28"/>
          <w:szCs w:val="28"/>
        </w:rPr>
        <w:t>them free reign in a cockpit where they must fight</w:t>
      </w:r>
      <w:r>
        <w:rPr>
          <w:sz w:val="28"/>
          <w:szCs w:val="28"/>
        </w:rPr>
        <w:t>, perhaps to the end, or perhaps just to hobble each other; suppress each other’s power</w:t>
      </w:r>
      <w:r w:rsidRPr="00237813">
        <w:rPr>
          <w:sz w:val="28"/>
          <w:szCs w:val="28"/>
        </w:rPr>
        <w:t xml:space="preserve">.  </w:t>
      </w:r>
      <w:r>
        <w:rPr>
          <w:sz w:val="28"/>
          <w:szCs w:val="28"/>
        </w:rPr>
        <w:t>Only h</w:t>
      </w:r>
      <w:r w:rsidRPr="00237813">
        <w:rPr>
          <w:sz w:val="28"/>
          <w:szCs w:val="28"/>
        </w:rPr>
        <w:t xml:space="preserve">ere </w:t>
      </w:r>
      <w:r>
        <w:rPr>
          <w:sz w:val="28"/>
          <w:szCs w:val="28"/>
        </w:rPr>
        <w:t xml:space="preserve">could </w:t>
      </w:r>
      <w:r w:rsidRPr="00237813">
        <w:rPr>
          <w:sz w:val="28"/>
          <w:szCs w:val="28"/>
        </w:rPr>
        <w:t>we find land without title</w:t>
      </w:r>
      <w:r>
        <w:rPr>
          <w:sz w:val="28"/>
          <w:szCs w:val="28"/>
        </w:rPr>
        <w:t xml:space="preserve"> as </w:t>
      </w:r>
      <w:r>
        <w:rPr>
          <w:sz w:val="28"/>
          <w:szCs w:val="28"/>
        </w:rPr>
        <w:lastRenderedPageBreak/>
        <w:t xml:space="preserve">though it were some territorial Montana of the movies; just like in Montana, there would need to be some fighting to work it all out.  </w:t>
      </w:r>
    </w:p>
    <w:p w14:paraId="763E93ED" w14:textId="77777777" w:rsidR="00E13BCB" w:rsidRDefault="00E13BCB" w:rsidP="00E13BCB">
      <w:pPr>
        <w:rPr>
          <w:sz w:val="28"/>
          <w:szCs w:val="28"/>
        </w:rPr>
      </w:pPr>
    </w:p>
    <w:p w14:paraId="63E4F2B8" w14:textId="7F05ECBB" w:rsidR="00E13BCB" w:rsidRDefault="00E13BCB" w:rsidP="00E13BCB">
      <w:pPr>
        <w:rPr>
          <w:sz w:val="28"/>
          <w:szCs w:val="28"/>
        </w:rPr>
      </w:pPr>
      <w:r>
        <w:rPr>
          <w:sz w:val="28"/>
          <w:szCs w:val="28"/>
        </w:rPr>
        <w:t>Bernadotte and Bunche stated that the most important thing that the international community could do to foster the possibility of a settlement</w:t>
      </w:r>
      <w:r>
        <w:rPr>
          <w:rStyle w:val="EndnoteReference"/>
          <w:sz w:val="28"/>
          <w:szCs w:val="28"/>
        </w:rPr>
        <w:endnoteReference w:id="170"/>
      </w:r>
      <w:r>
        <w:rPr>
          <w:sz w:val="28"/>
          <w:szCs w:val="28"/>
        </w:rPr>
        <w:t xml:space="preserve"> would be to create conditions of clarity.  Others followed with their own calls for the same.  The sort of people who were at the UN had all seen the lessons of the LN, and some of them had worked there.  Pablo de </w:t>
      </w:r>
      <w:proofErr w:type="spellStart"/>
      <w:r>
        <w:rPr>
          <w:sz w:val="28"/>
          <w:szCs w:val="28"/>
        </w:rPr>
        <w:t>Azcarate</w:t>
      </w:r>
      <w:proofErr w:type="spellEnd"/>
      <w:r>
        <w:rPr>
          <w:sz w:val="28"/>
          <w:szCs w:val="28"/>
        </w:rPr>
        <w:t xml:space="preserve">, who worked at the LN and was a Deputy Secretary-General, wrote in 1945: </w:t>
      </w:r>
      <w:r w:rsidRPr="00A7319E">
        <w:rPr>
          <w:sz w:val="28"/>
          <w:szCs w:val="28"/>
        </w:rPr>
        <w:t>“The frontiers must be given a definite and permanent character, not a purely provisional one.  The latter course would encourage every kind of ambition and would be a certain obstacle to the stabilization of Europe.”</w:t>
      </w:r>
      <w:r>
        <w:rPr>
          <w:rStyle w:val="EndnoteReference"/>
          <w:sz w:val="28"/>
          <w:szCs w:val="28"/>
        </w:rPr>
        <w:endnoteReference w:id="171"/>
      </w:r>
      <w:r>
        <w:rPr>
          <w:sz w:val="28"/>
          <w:szCs w:val="28"/>
        </w:rPr>
        <w:t xml:space="preserve">   The attempt to use nationality as a recognized legal category that would compete with the State, the experiments with sovereignty and territoriality, and the power of an international organization to interfere in the domestic jurisdiction of a State were all seen as failures.  All were seen to have contributed to WWII which devastated and remade much of the globe.  Why then is it that here, and nowhere else in that era, they attempted to use these failed tools of conflict resolution?  </w:t>
      </w:r>
    </w:p>
    <w:p w14:paraId="2157BD58" w14:textId="77777777" w:rsidR="0051023F" w:rsidRDefault="0051023F" w:rsidP="00E13BCB">
      <w:pPr>
        <w:rPr>
          <w:sz w:val="28"/>
          <w:szCs w:val="28"/>
        </w:rPr>
      </w:pPr>
    </w:p>
    <w:p w14:paraId="61405F4C" w14:textId="77777777" w:rsidR="00E13BCB" w:rsidRDefault="00E13BCB" w:rsidP="00E13BCB">
      <w:pPr>
        <w:rPr>
          <w:sz w:val="28"/>
          <w:szCs w:val="28"/>
        </w:rPr>
      </w:pPr>
      <w:r>
        <w:rPr>
          <w:sz w:val="28"/>
          <w:szCs w:val="28"/>
        </w:rPr>
        <w:t xml:space="preserve">Van </w:t>
      </w:r>
      <w:proofErr w:type="spellStart"/>
      <w:r>
        <w:rPr>
          <w:sz w:val="28"/>
          <w:szCs w:val="28"/>
        </w:rPr>
        <w:t>Kleffens</w:t>
      </w:r>
      <w:proofErr w:type="spellEnd"/>
      <w:r>
        <w:rPr>
          <w:sz w:val="28"/>
          <w:szCs w:val="28"/>
        </w:rPr>
        <w:t xml:space="preserve"> asked “Finally if territory is an essential attribute of the state, without which it simply is a state no longer, how can we conceive of territory as something having an existence apart from the state, something it owns, something outside it?  These questions find no satisfactory solution on the basis of proprietary theory.”</w:t>
      </w:r>
      <w:r>
        <w:rPr>
          <w:rStyle w:val="EndnoteReference"/>
          <w:sz w:val="28"/>
          <w:szCs w:val="28"/>
        </w:rPr>
        <w:endnoteReference w:id="172"/>
      </w:r>
      <w:r>
        <w:rPr>
          <w:sz w:val="28"/>
          <w:szCs w:val="28"/>
        </w:rPr>
        <w:t xml:space="preserve">  Here we have a case in point that begs an answer: What is land without sovereignty?  Van </w:t>
      </w:r>
      <w:proofErr w:type="spellStart"/>
      <w:r>
        <w:rPr>
          <w:sz w:val="28"/>
          <w:szCs w:val="28"/>
        </w:rPr>
        <w:t>Kleffens</w:t>
      </w:r>
      <w:proofErr w:type="spellEnd"/>
      <w:r>
        <w:rPr>
          <w:sz w:val="28"/>
          <w:szCs w:val="28"/>
        </w:rPr>
        <w:t xml:space="preserve"> had no answer, but someone at the UN must have had some start at an answer if they thought that the experiment was worth trying.  It wasn’t worth it.</w:t>
      </w:r>
      <w:r>
        <w:rPr>
          <w:rStyle w:val="EndnoteReference"/>
          <w:sz w:val="28"/>
          <w:szCs w:val="28"/>
        </w:rPr>
        <w:endnoteReference w:id="173"/>
      </w:r>
      <w:r>
        <w:rPr>
          <w:sz w:val="28"/>
          <w:szCs w:val="28"/>
        </w:rPr>
        <w:t xml:space="preserve">   </w:t>
      </w:r>
    </w:p>
    <w:p w14:paraId="7D94DA5F" w14:textId="77777777" w:rsidR="00E13BCB" w:rsidRDefault="00E13BCB" w:rsidP="00E13BCB">
      <w:pPr>
        <w:rPr>
          <w:sz w:val="28"/>
          <w:szCs w:val="28"/>
        </w:rPr>
      </w:pPr>
    </w:p>
    <w:p w14:paraId="528A60B4" w14:textId="77777777" w:rsidR="00E13BCB" w:rsidRDefault="00E13BCB" w:rsidP="00E13BCB">
      <w:pPr>
        <w:rPr>
          <w:sz w:val="28"/>
          <w:szCs w:val="28"/>
        </w:rPr>
      </w:pPr>
      <w:r>
        <w:rPr>
          <w:sz w:val="28"/>
          <w:szCs w:val="28"/>
        </w:rPr>
        <w:t>Not according sovereignty to an area meant that the international community would always remain involved, as there could never be any domestic jurisdiction to preclude it.  This applies to the West Bank, Gaza, Jerusalem, and those areas of Israel beyond the lines in 181.  The area thus continued to be internationalized and open to international involvement.</w:t>
      </w:r>
      <w:r>
        <w:rPr>
          <w:rStyle w:val="EndnoteReference"/>
          <w:sz w:val="28"/>
          <w:szCs w:val="28"/>
        </w:rPr>
        <w:endnoteReference w:id="174"/>
      </w:r>
      <w:r>
        <w:rPr>
          <w:sz w:val="28"/>
          <w:szCs w:val="28"/>
        </w:rPr>
        <w:t xml:space="preserve">  This left it open to the political interests of all, and necessarily a conflicted muddle.  Jews have long been an international and internationalized people,</w:t>
      </w:r>
      <w:r>
        <w:rPr>
          <w:rStyle w:val="EndnoteReference"/>
          <w:sz w:val="28"/>
          <w:szCs w:val="28"/>
        </w:rPr>
        <w:endnoteReference w:id="175"/>
      </w:r>
      <w:r>
        <w:rPr>
          <w:sz w:val="28"/>
          <w:szCs w:val="28"/>
        </w:rPr>
        <w:t xml:space="preserve"> and so it is perhaps not surprising that where Jews are involved, the international community wanted to retain some control.  This necessitated ambiguity, which meant violence.  Like </w:t>
      </w:r>
      <w:r>
        <w:rPr>
          <w:sz w:val="28"/>
          <w:szCs w:val="28"/>
        </w:rPr>
        <w:lastRenderedPageBreak/>
        <w:t xml:space="preserve">Bernadotte and Bunche, </w:t>
      </w:r>
      <w:proofErr w:type="spellStart"/>
      <w:r>
        <w:rPr>
          <w:sz w:val="28"/>
          <w:szCs w:val="28"/>
        </w:rPr>
        <w:t>Rosenne</w:t>
      </w:r>
      <w:proofErr w:type="spellEnd"/>
      <w:r>
        <w:rPr>
          <w:sz w:val="28"/>
          <w:szCs w:val="28"/>
        </w:rPr>
        <w:t xml:space="preserve"> calls for clarity as the necessary precondition to peace: recognized boundaries, territorial integrity, political independence, all the elements of sovereignty that were allowed to go lacking.</w:t>
      </w:r>
      <w:r>
        <w:rPr>
          <w:rStyle w:val="EndnoteReference"/>
          <w:sz w:val="28"/>
          <w:szCs w:val="28"/>
        </w:rPr>
        <w:endnoteReference w:id="176"/>
      </w:r>
    </w:p>
    <w:p w14:paraId="21ACAC57" w14:textId="77777777" w:rsidR="00E13BCB" w:rsidRDefault="00E13BCB" w:rsidP="00E13BCB">
      <w:pPr>
        <w:rPr>
          <w:sz w:val="28"/>
          <w:szCs w:val="28"/>
        </w:rPr>
      </w:pPr>
    </w:p>
    <w:p w14:paraId="785C3C00" w14:textId="77777777" w:rsidR="00E13BCB" w:rsidRDefault="00E13BCB" w:rsidP="00E13BCB">
      <w:pPr>
        <w:rPr>
          <w:sz w:val="28"/>
          <w:szCs w:val="28"/>
        </w:rPr>
      </w:pPr>
      <w:r>
        <w:rPr>
          <w:sz w:val="28"/>
          <w:szCs w:val="28"/>
        </w:rPr>
        <w:t xml:space="preserve">In 1967, yet a third war was fought over the ambiguities of the situation and the imprecise obligations of the international community, among other elements.  This time, the West Bank and Gaza changed hands and Israel took possession, complete with unknown status.  </w:t>
      </w:r>
      <w:proofErr w:type="spellStart"/>
      <w:r>
        <w:rPr>
          <w:sz w:val="28"/>
          <w:szCs w:val="28"/>
        </w:rPr>
        <w:t>Lauterpacht</w:t>
      </w:r>
      <w:proofErr w:type="spellEnd"/>
      <w:r>
        <w:rPr>
          <w:sz w:val="28"/>
          <w:szCs w:val="28"/>
        </w:rPr>
        <w:t xml:space="preserve"> thought that Israel could and should declare itself the sovereign power and be done with it.  As a lawyer, he preferred clarity.  Perhaps that ought to have happened, but it would have ignored what St </w:t>
      </w:r>
      <w:proofErr w:type="spellStart"/>
      <w:r>
        <w:rPr>
          <w:sz w:val="28"/>
          <w:szCs w:val="28"/>
        </w:rPr>
        <w:t>Korowicz</w:t>
      </w:r>
      <w:proofErr w:type="spellEnd"/>
      <w:r>
        <w:rPr>
          <w:sz w:val="28"/>
          <w:szCs w:val="28"/>
        </w:rPr>
        <w:t xml:space="preserve"> was trying to tell us: ambiguity is a tool for the powerful.  Israel finished that war a more powerful player, and the international community had gifted it with ambiguity, so why would it reject such a gift?  Levine hints that he understood this, that while all of Jerusalem was quickly annexed, the West Bank and Gaza were left in limbo.</w:t>
      </w:r>
      <w:r>
        <w:rPr>
          <w:rStyle w:val="EndnoteReference"/>
          <w:sz w:val="28"/>
          <w:szCs w:val="28"/>
        </w:rPr>
        <w:endnoteReference w:id="177"/>
      </w:r>
      <w:r>
        <w:rPr>
          <w:sz w:val="28"/>
          <w:szCs w:val="28"/>
        </w:rPr>
        <w:t xml:space="preserve">  In this case, Israel is using the ambiguity to obscure the legal nature of the settlements.</w:t>
      </w:r>
    </w:p>
    <w:p w14:paraId="0576C743" w14:textId="77777777" w:rsidR="00E13BCB" w:rsidRDefault="00E13BCB" w:rsidP="00E13BCB">
      <w:pPr>
        <w:rPr>
          <w:sz w:val="28"/>
          <w:szCs w:val="28"/>
        </w:rPr>
      </w:pPr>
    </w:p>
    <w:p w14:paraId="38C7012C" w14:textId="77777777" w:rsidR="00E13BCB" w:rsidRDefault="00E13BCB" w:rsidP="00E13BCB">
      <w:pPr>
        <w:rPr>
          <w:sz w:val="28"/>
          <w:szCs w:val="28"/>
        </w:rPr>
      </w:pPr>
      <w:r>
        <w:rPr>
          <w:sz w:val="28"/>
          <w:szCs w:val="28"/>
        </w:rPr>
        <w:t xml:space="preserve">The argument has been advanced that the international community, by allowing ambiguities and anomalies, increased the probability of conflict in the Mid-East.  Wright, the least judgmental of our publicists, would probably respond that whatever the international community affirms as agreements and treaties between states is legitimately international law, irrespective of its effects.  This standard accepts anomalies within the system of the law because they are acceptable to those who make the law.  Van </w:t>
      </w:r>
      <w:proofErr w:type="spellStart"/>
      <w:r>
        <w:rPr>
          <w:sz w:val="28"/>
          <w:szCs w:val="28"/>
        </w:rPr>
        <w:t>Kleffens</w:t>
      </w:r>
      <w:proofErr w:type="spellEnd"/>
      <w:r>
        <w:rPr>
          <w:sz w:val="28"/>
          <w:szCs w:val="28"/>
        </w:rPr>
        <w:t>, a believer in the necessary moral underpinnings of the law,</w:t>
      </w:r>
      <w:r>
        <w:rPr>
          <w:rStyle w:val="EndnoteReference"/>
          <w:sz w:val="28"/>
          <w:szCs w:val="28"/>
        </w:rPr>
        <w:endnoteReference w:id="178"/>
      </w:r>
      <w:r>
        <w:rPr>
          <w:sz w:val="28"/>
          <w:szCs w:val="28"/>
        </w:rPr>
        <w:t xml:space="preserve"> and St </w:t>
      </w:r>
      <w:proofErr w:type="spellStart"/>
      <w:r>
        <w:rPr>
          <w:sz w:val="28"/>
          <w:szCs w:val="28"/>
        </w:rPr>
        <w:t>Korowicz</w:t>
      </w:r>
      <w:proofErr w:type="spellEnd"/>
      <w:r>
        <w:rPr>
          <w:sz w:val="28"/>
          <w:szCs w:val="28"/>
        </w:rPr>
        <w:t>, always trying for clarity in the law to better protect the weak, would reject this.  Can we judge a system by its effects, or is all of international law equally acceptable because it has been accepted?</w:t>
      </w:r>
      <w:r>
        <w:rPr>
          <w:rStyle w:val="EndnoteReference"/>
          <w:sz w:val="28"/>
          <w:szCs w:val="28"/>
        </w:rPr>
        <w:endnoteReference w:id="179"/>
      </w:r>
      <w:r>
        <w:rPr>
          <w:sz w:val="28"/>
          <w:szCs w:val="28"/>
        </w:rPr>
        <w:t xml:space="preserve">  Might we go yet a step further: if the international community chose a set of solutions in order to solve a problem, but those solutions had already been tried and found to further conflict, and the international community used those solutions in only one conflict at the time, can we conclude that the international community was motivated by a desire to further conflict there?  Ambiguous and voided sovereignty had been </w:t>
      </w:r>
      <w:proofErr w:type="gramStart"/>
      <w:r>
        <w:rPr>
          <w:sz w:val="28"/>
          <w:szCs w:val="28"/>
        </w:rPr>
        <w:t>tried, and</w:t>
      </w:r>
      <w:proofErr w:type="gramEnd"/>
      <w:r>
        <w:rPr>
          <w:sz w:val="28"/>
          <w:szCs w:val="28"/>
        </w:rPr>
        <w:t xml:space="preserve"> had proved conflictual.  Should they have known that ambiguity in the law fosters conflict?  </w:t>
      </w:r>
    </w:p>
    <w:p w14:paraId="4584D8CA" w14:textId="77777777" w:rsidR="00E13BCB" w:rsidRDefault="00E13BCB" w:rsidP="00E13BCB">
      <w:pPr>
        <w:rPr>
          <w:sz w:val="28"/>
          <w:szCs w:val="28"/>
        </w:rPr>
      </w:pPr>
    </w:p>
    <w:p w14:paraId="147D9520" w14:textId="77777777" w:rsidR="00E13BCB" w:rsidRDefault="00E13BCB" w:rsidP="00E13BCB">
      <w:pPr>
        <w:rPr>
          <w:sz w:val="28"/>
          <w:szCs w:val="28"/>
        </w:rPr>
      </w:pPr>
      <w:r>
        <w:rPr>
          <w:sz w:val="28"/>
          <w:szCs w:val="28"/>
        </w:rPr>
        <w:t xml:space="preserve">There is probably a connection between the anomalous situation of sovereignty and that of the Palestine refugees at the same time.  UNRWA, the agency </w:t>
      </w:r>
      <w:r>
        <w:rPr>
          <w:sz w:val="28"/>
          <w:szCs w:val="28"/>
        </w:rPr>
        <w:lastRenderedPageBreak/>
        <w:t>founded to care for those refugees, was based on the notions of repatriation and the fact that there was no Palestinian state.</w:t>
      </w:r>
      <w:r>
        <w:rPr>
          <w:rStyle w:val="EndnoteReference"/>
          <w:sz w:val="28"/>
          <w:szCs w:val="28"/>
        </w:rPr>
        <w:endnoteReference w:id="180"/>
      </w:r>
      <w:r>
        <w:rPr>
          <w:sz w:val="28"/>
          <w:szCs w:val="28"/>
        </w:rPr>
        <w:t xml:space="preserve">   Leaving the land ambiguous left open the possibility of repatriation to the land as it had been, that is, without Israel, and with a large Arab majority, as the Arab states and the AHC demanded in 1C meetings and elsewhere.  To assign sovereignty to all of the land would have belied the promise of repatriation from the start.  Further, so long as there was the promise of further conflicts and wars, which the ambiguity of the situation assured, there is some chance that Israel will disappear, and then repatriation can happen as it was originally promised.</w:t>
      </w:r>
      <w:r>
        <w:rPr>
          <w:rStyle w:val="EndnoteReference"/>
          <w:sz w:val="28"/>
          <w:szCs w:val="28"/>
        </w:rPr>
        <w:endnoteReference w:id="181"/>
      </w:r>
      <w:r>
        <w:rPr>
          <w:sz w:val="28"/>
          <w:szCs w:val="28"/>
        </w:rPr>
        <w:t xml:space="preserve">  If the problem of the land was settled, then how could they justify holding out the promise of repatriation?</w:t>
      </w:r>
    </w:p>
    <w:p w14:paraId="30CEBB00" w14:textId="77777777" w:rsidR="00E13BCB" w:rsidRDefault="00E13BCB" w:rsidP="00E13BCB">
      <w:pPr>
        <w:rPr>
          <w:sz w:val="28"/>
          <w:szCs w:val="28"/>
        </w:rPr>
      </w:pPr>
    </w:p>
    <w:p w14:paraId="05E8C8B1" w14:textId="77777777" w:rsidR="00E13BCB" w:rsidRPr="00215AB5" w:rsidRDefault="00E13BCB" w:rsidP="00E13BCB">
      <w:pPr>
        <w:rPr>
          <w:sz w:val="28"/>
          <w:szCs w:val="28"/>
        </w:rPr>
      </w:pPr>
      <w:r>
        <w:rPr>
          <w:sz w:val="28"/>
          <w:szCs w:val="28"/>
        </w:rPr>
        <w:t>The international community had numerous opportunities at the beginning of the Arab/Zionist conflict to bring some settlement to it, and failed again and again, leaving behind a muddle of conflicting claims, ambiguous status and thus, guaranteed further conflict.  There were some who clearly warned that not fixing the status of the areas would be to foster further conflict, so the international community had been warned.</w:t>
      </w:r>
      <w:r>
        <w:rPr>
          <w:rStyle w:val="EndnoteReference"/>
          <w:sz w:val="28"/>
          <w:szCs w:val="28"/>
        </w:rPr>
        <w:endnoteReference w:id="182"/>
      </w:r>
      <w:r>
        <w:rPr>
          <w:sz w:val="28"/>
          <w:szCs w:val="28"/>
        </w:rPr>
        <w:t xml:space="preserve">  Not at all surprisingly, it came true.</w:t>
      </w:r>
    </w:p>
    <w:p w14:paraId="4E67F209" w14:textId="77777777" w:rsidR="00E13BCB" w:rsidRPr="00C13D7F" w:rsidRDefault="00E13BCB" w:rsidP="00E13BCB">
      <w:pPr>
        <w:rPr>
          <w:sz w:val="28"/>
          <w:szCs w:val="28"/>
        </w:rPr>
      </w:pPr>
    </w:p>
    <w:p w14:paraId="04BD24E8" w14:textId="77777777" w:rsidR="00E13BCB" w:rsidRPr="0053188C" w:rsidRDefault="00E13BCB" w:rsidP="00E13BCB">
      <w:pPr>
        <w:rPr>
          <w:sz w:val="28"/>
          <w:szCs w:val="28"/>
        </w:rPr>
      </w:pPr>
    </w:p>
    <w:p w14:paraId="673D7F64" w14:textId="77777777" w:rsidR="00E13BCB" w:rsidRDefault="00E13BCB" w:rsidP="00E13BCB"/>
    <w:p w14:paraId="17D80494" w14:textId="77777777" w:rsidR="00F750A0" w:rsidRDefault="008C7D99"/>
    <w:sectPr w:rsidR="00F750A0" w:rsidSect="005276DD">
      <w:footerReference w:type="even" r:id="rId7"/>
      <w:footerReference w:type="default" r:id="rId8"/>
      <w:endnotePr>
        <w:numFmt w:val="decimal"/>
      </w:endnotePr>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59E03E1" w14:textId="77777777" w:rsidR="008C7D99" w:rsidRDefault="008C7D99" w:rsidP="00E13BCB">
      <w:r>
        <w:separator/>
      </w:r>
    </w:p>
  </w:endnote>
  <w:endnote w:type="continuationSeparator" w:id="0">
    <w:p w14:paraId="16DA5966" w14:textId="77777777" w:rsidR="008C7D99" w:rsidRDefault="008C7D99" w:rsidP="00E13BCB">
      <w:r>
        <w:continuationSeparator/>
      </w:r>
    </w:p>
  </w:endnote>
  <w:endnote w:id="1">
    <w:p w14:paraId="7063A632" w14:textId="77777777" w:rsidR="00E13BCB" w:rsidRDefault="00E13BCB" w:rsidP="00E13BCB">
      <w:pPr>
        <w:pStyle w:val="EndnoteText"/>
      </w:pPr>
      <w:r>
        <w:rPr>
          <w:rStyle w:val="EndnoteReference"/>
        </w:rPr>
        <w:endnoteRef/>
      </w:r>
      <w:r>
        <w:t xml:space="preserve"> </w:t>
      </w:r>
      <w:r w:rsidRPr="00535E4E">
        <w:t>Marek</w:t>
      </w:r>
      <w:r>
        <w:t xml:space="preserve"> </w:t>
      </w:r>
      <w:r w:rsidRPr="00535E4E">
        <w:t>St</w:t>
      </w:r>
      <w:r>
        <w:t xml:space="preserve"> </w:t>
      </w:r>
      <w:r w:rsidRPr="00535E4E">
        <w:t xml:space="preserve">Korowicz, </w:t>
      </w:r>
      <w:r w:rsidRPr="00535E4E">
        <w:rPr>
          <w:i/>
        </w:rPr>
        <w:t xml:space="preserve">Introduction to International Law: Present Conceptions of International Law in Theory and Practice, </w:t>
      </w:r>
      <w:r w:rsidRPr="00535E4E">
        <w:t>(The Hague: Martinus Nijhoff</w:t>
      </w:r>
      <w:r>
        <w:t>,</w:t>
      </w:r>
      <w:r w:rsidRPr="00535E4E">
        <w:t xml:space="preserve"> 1959</w:t>
      </w:r>
      <w:r>
        <w:t xml:space="preserve">), 24 has a view something like this.  Interestingly for the idea that many things concerning Jews and that part of the Middle East that Jews have lived in is anomalous, </w:t>
      </w:r>
      <w:r w:rsidRPr="00A25D28">
        <w:t xml:space="preserve">Peter Berger, </w:t>
      </w:r>
      <w:r>
        <w:t>“</w:t>
      </w:r>
      <w:r w:rsidRPr="00A25D28">
        <w:t>The Internationalization of Jerusalem,</w:t>
      </w:r>
      <w:r>
        <w:t>”</w:t>
      </w:r>
      <w:r w:rsidRPr="00A25D28">
        <w:t xml:space="preserve"> </w:t>
      </w:r>
      <w:r>
        <w:t>The</w:t>
      </w:r>
      <w:r w:rsidRPr="00A25D28">
        <w:t xml:space="preserve"> Jurist 357 (1950)</w:t>
      </w:r>
      <w:r>
        <w:t xml:space="preserve">, 357, starts his article with “The </w:t>
      </w:r>
      <w:r w:rsidRPr="00A25D28">
        <w:t xml:space="preserve">question of the Holy Places </w:t>
      </w:r>
      <w:r w:rsidRPr="00A25D28">
        <w:rPr>
          <w:b/>
        </w:rPr>
        <w:t xml:space="preserve">in </w:t>
      </w:r>
      <w:r w:rsidRPr="00A25D28">
        <w:t>Palestine is one of the oldest problems that have arisen under international law. It is even older than our modern international</w:t>
      </w:r>
      <w:r>
        <w:t xml:space="preserve"> </w:t>
      </w:r>
      <w:r w:rsidRPr="00A25D28">
        <w:t>law itself</w:t>
      </w:r>
      <w:r>
        <w:t>…” and goes on to make the case that the agreement between the various rulers of Jerusalem and the interested outside parties constitute the first instances of modern international law.</w:t>
      </w:r>
    </w:p>
  </w:endnote>
  <w:endnote w:id="2">
    <w:p w14:paraId="39EBB00B" w14:textId="77777777" w:rsidR="00E13BCB" w:rsidRDefault="00E13BCB" w:rsidP="00E13BCB">
      <w:pPr>
        <w:pStyle w:val="EndnoteText"/>
      </w:pPr>
      <w:r>
        <w:rPr>
          <w:rStyle w:val="EndnoteReference"/>
        </w:rPr>
        <w:endnoteRef/>
      </w:r>
      <w:r>
        <w:t xml:space="preserve"> This is a poor attempt at a definition.  Through the paper, thinkers will approach it and define in various ways and most of them will have a historical overview of the development of the idea as well.  It is important to note here that this is a work of history, not of law, and will not attempt to wade into the disputes or try to judge the best interpretation, but only to record the possibilities and some of the effects.    </w:t>
      </w:r>
    </w:p>
  </w:endnote>
  <w:endnote w:id="3">
    <w:p w14:paraId="21CD74C8" w14:textId="77777777" w:rsidR="00E13BCB" w:rsidRDefault="00E13BCB" w:rsidP="00E13BCB">
      <w:pPr>
        <w:pStyle w:val="EndnoteText"/>
      </w:pPr>
      <w:r>
        <w:rPr>
          <w:rStyle w:val="EndnoteReference"/>
        </w:rPr>
        <w:endnoteRef/>
      </w:r>
      <w:r>
        <w:t xml:space="preserve"> Most authors of the time treat it as a new structure, but </w:t>
      </w:r>
      <w:r w:rsidRPr="000B618F">
        <w:t>H. Duncan</w:t>
      </w:r>
      <w:r>
        <w:t xml:space="preserve"> </w:t>
      </w:r>
      <w:r w:rsidRPr="000B618F">
        <w:t xml:space="preserve">Hall, </w:t>
      </w:r>
      <w:r w:rsidRPr="000B618F">
        <w:rPr>
          <w:i/>
        </w:rPr>
        <w:t xml:space="preserve">Mandates, Dependencies and Trusteeship, </w:t>
      </w:r>
      <w:r>
        <w:t>(</w:t>
      </w:r>
      <w:r w:rsidRPr="000B618F">
        <w:t>Washington, DC: Carnegie Endowment for International Peace, 1948</w:t>
      </w:r>
      <w:r>
        <w:t>), works hard in Chapter VIII, ‘The Four Roots of the Mandate and Trusteeship Systems’, 91-106 to pull precedents from the 16</w:t>
      </w:r>
      <w:r w:rsidRPr="000B618F">
        <w:rPr>
          <w:vertAlign w:val="superscript"/>
        </w:rPr>
        <w:t>th</w:t>
      </w:r>
      <w:r>
        <w:t xml:space="preserve"> century, emphasizing that Europe’s treatment of Africa in the second half of the 19</w:t>
      </w:r>
      <w:r w:rsidRPr="000B618F">
        <w:rPr>
          <w:vertAlign w:val="superscript"/>
        </w:rPr>
        <w:t>th</w:t>
      </w:r>
      <w:r>
        <w:t xml:space="preserve"> century </w:t>
      </w:r>
      <w:r w:rsidRPr="000B618F">
        <w:rPr>
          <w:i/>
        </w:rPr>
        <w:t xml:space="preserve"> </w:t>
      </w:r>
      <w:r>
        <w:t xml:space="preserve">contained the features of mandates.  He concludes, 105, </w:t>
      </w:r>
      <w:r w:rsidRPr="000B618F">
        <w:t>“Thus, before the first World War there existed over a large part of Africa the main elements of the mandate system, save the highly important one of continuous international supervision which the mandate system was finally to supply…”</w:t>
      </w:r>
    </w:p>
  </w:endnote>
  <w:endnote w:id="4">
    <w:p w14:paraId="6205EDE0" w14:textId="77777777" w:rsidR="00E13BCB" w:rsidRPr="004B1227" w:rsidRDefault="00E13BCB" w:rsidP="00E13BCB">
      <w:pPr>
        <w:rPr>
          <w:rFonts w:ascii="Times New Roman" w:eastAsia="Times New Roman" w:hAnsi="Times New Roman" w:cs="Times New Roman"/>
          <w:sz w:val="20"/>
          <w:szCs w:val="20"/>
        </w:rPr>
      </w:pPr>
      <w:r>
        <w:rPr>
          <w:rStyle w:val="EndnoteReference"/>
        </w:rPr>
        <w:endnoteRef/>
      </w:r>
      <w:r>
        <w:t xml:space="preserve"> </w:t>
      </w:r>
      <w:r w:rsidRPr="00770A77">
        <w:rPr>
          <w:sz w:val="20"/>
          <w:szCs w:val="20"/>
        </w:rPr>
        <w:t>Most of the meetings are of the first committee, third session.  From here on, these will be referred to as 1C SR (summary records), followed by a page number.</w:t>
      </w:r>
      <w:r>
        <w:t xml:space="preserve">   </w:t>
      </w:r>
      <w:r w:rsidRPr="00FF00F1">
        <w:rPr>
          <w:sz w:val="20"/>
          <w:szCs w:val="20"/>
        </w:rPr>
        <w:t>The</w:t>
      </w:r>
      <w:r>
        <w:rPr>
          <w:sz w:val="20"/>
          <w:szCs w:val="20"/>
        </w:rPr>
        <w:t>y</w:t>
      </w:r>
      <w:r w:rsidRPr="00FF00F1">
        <w:rPr>
          <w:sz w:val="20"/>
          <w:szCs w:val="20"/>
        </w:rPr>
        <w:t xml:space="preserve"> are found at</w:t>
      </w:r>
      <w:r>
        <w:t xml:space="preserve"> </w:t>
      </w:r>
      <w:hyperlink r:id="rId1" w:tgtFrame="_blank" w:history="1">
        <w:r w:rsidRPr="00A444DF">
          <w:rPr>
            <w:rFonts w:ascii="Times New Roman" w:eastAsia="Times New Roman" w:hAnsi="Times New Roman" w:cs="Times New Roman"/>
            <w:color w:val="0000FF"/>
            <w:sz w:val="20"/>
            <w:szCs w:val="20"/>
            <w:u w:val="single"/>
          </w:rPr>
          <w:t>http://digitization.s3.amazonaws.com/dgacm_bak/GA003-1948/PDF/A_C_1_SR_142-236-E-F.pdf</w:t>
        </w:r>
      </w:hyperlink>
      <w:r w:rsidRPr="00A444DF">
        <w:rPr>
          <w:rFonts w:ascii="Times New Roman" w:eastAsia="Times New Roman" w:hAnsi="Times New Roman" w:cs="Times New Roman"/>
          <w:color w:val="0000FF"/>
          <w:sz w:val="20"/>
          <w:szCs w:val="20"/>
          <w:u w:val="single"/>
        </w:rPr>
        <w:t xml:space="preserve"> </w:t>
      </w:r>
    </w:p>
  </w:endnote>
  <w:endnote w:id="5">
    <w:p w14:paraId="1883A6AF" w14:textId="77777777" w:rsidR="00E13BCB" w:rsidRDefault="00E13BCB" w:rsidP="00E13BCB">
      <w:pPr>
        <w:pStyle w:val="EndnoteText"/>
      </w:pPr>
      <w:r>
        <w:rPr>
          <w:rStyle w:val="EndnoteReference"/>
        </w:rPr>
        <w:endnoteRef/>
      </w:r>
      <w:r>
        <w:t xml:space="preserve"> The Soviet satellite states, not independent states at all, are the exception here.  Imagine the heartbreak of the Polish representative who had to say, 1C SR, 888: “</w:t>
      </w:r>
      <w:r w:rsidRPr="004B606D">
        <w:t>First, he could not</w:t>
      </w:r>
      <w:r>
        <w:t xml:space="preserve"> </w:t>
      </w:r>
      <w:r w:rsidRPr="004B606D">
        <w:t>accept the Mediator's conclusion regarding the</w:t>
      </w:r>
      <w:r>
        <w:t xml:space="preserve"> </w:t>
      </w:r>
      <w:r w:rsidRPr="004B606D">
        <w:t>disposal of the Arab territory because it meant</w:t>
      </w:r>
      <w:r>
        <w:t xml:space="preserve"> </w:t>
      </w:r>
      <w:r w:rsidRPr="004B606D">
        <w:t>that the decision would be left primarily to the</w:t>
      </w:r>
      <w:r>
        <w:t xml:space="preserve"> </w:t>
      </w:r>
      <w:r w:rsidRPr="004B606D">
        <w:t>Governments of the neighbouring Arab States.</w:t>
      </w:r>
      <w:r>
        <w:t xml:space="preserve"> </w:t>
      </w:r>
      <w:r w:rsidRPr="004B606D">
        <w:t>True, the Mediator's report said that the inhabitants</w:t>
      </w:r>
      <w:r>
        <w:t xml:space="preserve"> </w:t>
      </w:r>
      <w:r w:rsidRPr="004B606D">
        <w:t>of the Arab area would be consulted,</w:t>
      </w:r>
      <w:r>
        <w:t xml:space="preserve"> </w:t>
      </w:r>
      <w:r w:rsidRPr="004B606D">
        <w:t>but it was not realistic to imagine that there</w:t>
      </w:r>
      <w:r>
        <w:t xml:space="preserve"> </w:t>
      </w:r>
      <w:r w:rsidRPr="004B606D">
        <w:t>could be a free and valid consultation so long</w:t>
      </w:r>
      <w:r>
        <w:t xml:space="preserve"> </w:t>
      </w:r>
      <w:r w:rsidRPr="004B606D">
        <w:t>as the armies of the neighbouring States remained</w:t>
      </w:r>
      <w:r>
        <w:t xml:space="preserve"> </w:t>
      </w:r>
      <w:r w:rsidRPr="004B606D">
        <w:t>in occupation.</w:t>
      </w:r>
      <w:r>
        <w:t>”</w:t>
      </w:r>
    </w:p>
  </w:endnote>
  <w:endnote w:id="6">
    <w:p w14:paraId="0D9E482A" w14:textId="77777777" w:rsidR="00E13BCB" w:rsidRDefault="00E13BCB" w:rsidP="00E13BCB">
      <w:pPr>
        <w:pStyle w:val="EndnoteText"/>
      </w:pPr>
      <w:r>
        <w:rPr>
          <w:rStyle w:val="EndnoteReference"/>
        </w:rPr>
        <w:endnoteRef/>
      </w:r>
      <w:r>
        <w:t xml:space="preserve"> I have read summary reports from hundreds of UN meetings and I have only come across one instance of a delegate acknowledging that there was nothing but talk.  In the eleventh session of ESOC, meeting 407, which happened after a lunch break (perhaps too much wine?) a certain Mr Bernstein, delegate of Chile, begins his discussion of the agenda item with “</w:t>
      </w:r>
      <w:r w:rsidRPr="00AE05AC">
        <w:t>A detailed study of the draft resolution showed that the perfect diplomatic phrases in which it was drafted concealed a complete lack of substance.</w:t>
      </w:r>
      <w:r>
        <w:t>“  It is downhill from there as he excoriates his fellows for their uselessness.  Speaking after him, the Danish representative had to say: “</w:t>
      </w:r>
      <w:r w:rsidRPr="002873BC">
        <w:t>The best that had been said in the Social Committee on the resolution before the Council was that it could do no harm and that it might perhaps do some good.</w:t>
      </w:r>
      <w:r>
        <w:t>”  Even the US rep, speaking after that: “</w:t>
      </w:r>
      <w:r w:rsidRPr="002873BC">
        <w:t>agreed with the Chilean representative that the draft resolution before the Council was weak and therefore not likely to prove very effective.</w:t>
      </w:r>
      <w:r>
        <w:t xml:space="preserve">”  Then they all went back to it.   </w:t>
      </w:r>
    </w:p>
  </w:endnote>
  <w:endnote w:id="7">
    <w:p w14:paraId="0C433CC4" w14:textId="77777777" w:rsidR="00E13BCB" w:rsidRPr="00B6704F" w:rsidRDefault="00E13BCB" w:rsidP="00E13BCB">
      <w:pPr>
        <w:pStyle w:val="EndnoteText"/>
      </w:pPr>
      <w:r>
        <w:rPr>
          <w:rStyle w:val="EndnoteReference"/>
        </w:rPr>
        <w:endnoteRef/>
      </w:r>
      <w:r>
        <w:t xml:space="preserve"> Here I take from </w:t>
      </w:r>
      <w:r w:rsidRPr="00E608C0">
        <w:t xml:space="preserve">Susan Pedersen, </w:t>
      </w:r>
      <w:r w:rsidRPr="00E608C0">
        <w:rPr>
          <w:i/>
        </w:rPr>
        <w:t>The Guardians: The League of Nations and the Crisis of Empire</w:t>
      </w:r>
      <w:r w:rsidRPr="00E608C0">
        <w:t>, Oxford: Oxford University Press, 2015</w:t>
      </w:r>
      <w:r>
        <w:t>, her understanding of the importance of the LN, 6: “…recalling the Spanish delegate exclaiming, when a champagne cork went off with a loud pop at a festive lunch, ‘Voila l’artillerie de la Societe des Nations!’   That was true: the League’s power lay, not in arms, but in the simple fact that it brought the statesmen of the world, well-oiled by drink, into a public arena where they had to perform civility and espouse internationalism, whatever their private or even political inclinations.”</w:t>
      </w:r>
    </w:p>
  </w:endnote>
  <w:endnote w:id="8">
    <w:p w14:paraId="0A7EE5F3" w14:textId="77777777" w:rsidR="00E13BCB" w:rsidRPr="00E608C0" w:rsidRDefault="00E13BCB" w:rsidP="00E13BCB">
      <w:pPr>
        <w:pStyle w:val="EndnoteText"/>
      </w:pPr>
      <w:r>
        <w:rPr>
          <w:rStyle w:val="EndnoteReference"/>
        </w:rPr>
        <w:endnoteRef/>
      </w:r>
      <w:r>
        <w:t xml:space="preserve"> Here is how the Israeli Ambassador to the UN,  </w:t>
      </w:r>
      <w:r w:rsidRPr="00E608C0">
        <w:t>Abba</w:t>
      </w:r>
      <w:r>
        <w:t xml:space="preserve"> </w:t>
      </w:r>
      <w:r w:rsidRPr="00E608C0">
        <w:t xml:space="preserve">Eban, </w:t>
      </w:r>
      <w:r w:rsidRPr="00E608C0">
        <w:rPr>
          <w:i/>
        </w:rPr>
        <w:t xml:space="preserve">Personal Witness: Israel Through My Eyes, </w:t>
      </w:r>
      <w:r w:rsidRPr="00E608C0">
        <w:t>NY, NY: G.P. Putnam’s Sons, 1992</w:t>
      </w:r>
      <w:r>
        <w:t xml:space="preserve">, 208, described his understanding of his role: “If I feared being swamped by torrents of legalistic UN rhetoric, I would be consoled by having a platform for political dialogue and large access to the media.  My policy in the UN had always been to forget the immediate specialized audience and to address my language and emotion to the wider world beyond.  The UN was then a more resonant platform than it became in the 1960s and 1970s.”  </w:t>
      </w:r>
      <w:r w:rsidRPr="0090524A">
        <w:t xml:space="preserve">George T. Mazuzan, </w:t>
      </w:r>
      <w:r w:rsidRPr="0090524A">
        <w:rPr>
          <w:i/>
        </w:rPr>
        <w:t>Warren R. Austin at the United Nations, 1946-1953,</w:t>
      </w:r>
      <w:r>
        <w:rPr>
          <w:i/>
        </w:rPr>
        <w:t xml:space="preserve"> </w:t>
      </w:r>
      <w:r w:rsidRPr="0090524A">
        <w:t>(Kent State University Press, 1977)</w:t>
      </w:r>
      <w:r>
        <w:t xml:space="preserve"> summarizes the first US ambassador’s role at the UN, 185:</w:t>
      </w:r>
      <w:r w:rsidRPr="0090524A">
        <w:t xml:space="preserve"> “During his six-and-a-half-year tenure, he established the basic role which has remained down to the present day- that of spokesman for American policy with little influence on the policy making process.  The antagonistic nature of the universal, open diplomacy, UN ideals as opposed to nationalistic, unilateral American foreign policy helps account for Austin’s role.”</w:t>
      </w:r>
      <w:r>
        <w:t xml:space="preserve">  Andrei Gromyko, Soviet ambassador at the time, published his </w:t>
      </w:r>
      <w:r>
        <w:rPr>
          <w:i/>
        </w:rPr>
        <w:t xml:space="preserve">Memoirs </w:t>
      </w:r>
      <w:r>
        <w:t xml:space="preserve">in 1989, but it doesn’t say anything that a lifetime of staying out of the gulags might have one edit out.  That is to say that I found nothing interesting there.  </w:t>
      </w:r>
    </w:p>
  </w:endnote>
  <w:endnote w:id="9">
    <w:p w14:paraId="41485E57" w14:textId="77777777" w:rsidR="00E13BCB" w:rsidRDefault="00E13BCB" w:rsidP="00E13BCB">
      <w:pPr>
        <w:pStyle w:val="EndnoteText"/>
      </w:pPr>
      <w:r>
        <w:rPr>
          <w:rStyle w:val="EndnoteReference"/>
        </w:rPr>
        <w:endnoteRef/>
      </w:r>
      <w:r>
        <w:t xml:space="preserve"> List taken from St Korowicz, </w:t>
      </w:r>
      <w:r>
        <w:rPr>
          <w:i/>
        </w:rPr>
        <w:t xml:space="preserve">Introduction, </w:t>
      </w:r>
      <w:r>
        <w:t>1-5.</w:t>
      </w:r>
    </w:p>
  </w:endnote>
  <w:endnote w:id="10">
    <w:p w14:paraId="1057F8E3" w14:textId="77777777" w:rsidR="00E13BCB" w:rsidRPr="002855AD" w:rsidRDefault="00E13BCB" w:rsidP="00E13BCB">
      <w:pPr>
        <w:pStyle w:val="EndnoteText"/>
      </w:pPr>
      <w:r>
        <w:rPr>
          <w:rStyle w:val="EndnoteReference"/>
        </w:rPr>
        <w:endnoteRef/>
      </w:r>
      <w:r>
        <w:t xml:space="preserve">St Korowicz, </w:t>
      </w:r>
      <w:r>
        <w:rPr>
          <w:i/>
        </w:rPr>
        <w:t>Introduction,</w:t>
      </w:r>
      <w:r>
        <w:t xml:space="preserve"> 54 for the justification of using publicists as a source of law.</w:t>
      </w:r>
    </w:p>
  </w:endnote>
  <w:endnote w:id="11">
    <w:p w14:paraId="19F3E8AB" w14:textId="77777777" w:rsidR="00E13BCB" w:rsidRDefault="00E13BCB" w:rsidP="00E13BCB">
      <w:pPr>
        <w:pStyle w:val="EndnoteText"/>
      </w:pPr>
      <w:r>
        <w:rPr>
          <w:rStyle w:val="EndnoteReference"/>
        </w:rPr>
        <w:endnoteRef/>
      </w:r>
      <w:r>
        <w:t xml:space="preserve"> </w:t>
      </w:r>
      <w:r w:rsidRPr="003A72F2">
        <w:t xml:space="preserve">Quincy Wright, </w:t>
      </w:r>
      <w:r w:rsidRPr="003A72F2">
        <w:rPr>
          <w:i/>
        </w:rPr>
        <w:t xml:space="preserve">Mandates Under the League of Nations, </w:t>
      </w:r>
      <w:r w:rsidRPr="003A72F2">
        <w:t>(Chicago: University of Chicago Press, 1930</w:t>
      </w:r>
      <w:r>
        <w:t>).</w:t>
      </w:r>
    </w:p>
  </w:endnote>
  <w:endnote w:id="12">
    <w:p w14:paraId="3D31B78C" w14:textId="77777777" w:rsidR="00E13BCB" w:rsidRDefault="00E13BCB" w:rsidP="00E13BCB">
      <w:pPr>
        <w:pStyle w:val="EndnoteText"/>
      </w:pPr>
      <w:r>
        <w:rPr>
          <w:rStyle w:val="EndnoteReference"/>
        </w:rPr>
        <w:endnoteRef/>
      </w:r>
      <w:r>
        <w:t xml:space="preserve"> When he applied himself to the specific issue of Palestine in </w:t>
      </w:r>
      <w:r w:rsidRPr="004654B1">
        <w:t>Quincy</w:t>
      </w:r>
      <w:r>
        <w:t xml:space="preserve"> </w:t>
      </w:r>
      <w:r w:rsidRPr="004654B1">
        <w:t>Wright, "The Palestine Problem." </w:t>
      </w:r>
      <w:r w:rsidRPr="004654B1">
        <w:rPr>
          <w:i/>
          <w:iCs/>
        </w:rPr>
        <w:t>Political Science Quarterly</w:t>
      </w:r>
      <w:r w:rsidRPr="004654B1">
        <w:t> 41, no. 3 (1926)</w:t>
      </w:r>
      <w:r>
        <w:t xml:space="preserve">, 411-12, he cited ambiguous political and legal situations like Danzig and the Saar as good models for this mandate to follow and advocated for “an international religious preserve.” </w:t>
      </w:r>
    </w:p>
  </w:endnote>
  <w:endnote w:id="13">
    <w:p w14:paraId="375B3E04" w14:textId="77777777" w:rsidR="00E13BCB" w:rsidRPr="00FD038F" w:rsidRDefault="00E13BCB" w:rsidP="00E13BCB">
      <w:pPr>
        <w:pStyle w:val="EndnoteText"/>
      </w:pPr>
      <w:r>
        <w:rPr>
          <w:rStyle w:val="EndnoteReference"/>
        </w:rPr>
        <w:endnoteRef/>
      </w:r>
      <w:r>
        <w:t xml:space="preserve"> Wright, </w:t>
      </w:r>
      <w:r>
        <w:rPr>
          <w:i/>
        </w:rPr>
        <w:t xml:space="preserve">Mandates, </w:t>
      </w:r>
      <w:r>
        <w:t xml:space="preserve">532: </w:t>
      </w:r>
      <w:r w:rsidRPr="00FD038F">
        <w:t xml:space="preserve">“Political checks and balances if alone relied on produce an exceedingly unstable equilibrium.  When control is purely political, the equilibrium can be so radically disturbed before reaction sets in that violence results.  On the other hand, efforts to eliminate political forces altogether and to maintain government by law alone has proved equally disastrous.  Law alone cannot keep pace with social changes while politics alone is likely to outstrip them.  Thus in successful governments political checks and balances have been supplemented by legal definitions and distributions of power and responsibility administered by established organs and procedures.  Progress by evolution rather than revolution seems to depend upon a proper co-ordination of political and legal controls.  Too much politics suggests the effort to balance scales by successively casting heavy weights in one pan and then the other.  Too much law suggests the apparently simple device of clamping the scales, with the danger, however, that one pan will become so overloaded that the cross-bar will break.”  </w:t>
      </w:r>
    </w:p>
  </w:endnote>
  <w:endnote w:id="14">
    <w:p w14:paraId="4266F638" w14:textId="77777777" w:rsidR="00E13BCB" w:rsidRPr="007F1622" w:rsidRDefault="00E13BCB" w:rsidP="00E13BCB">
      <w:pPr>
        <w:pStyle w:val="EndnoteText"/>
      </w:pPr>
      <w:r>
        <w:rPr>
          <w:rStyle w:val="EndnoteReference"/>
        </w:rPr>
        <w:endnoteRef/>
      </w:r>
      <w:r>
        <w:t xml:space="preserve"> Wright, </w:t>
      </w:r>
      <w:r>
        <w:rPr>
          <w:i/>
        </w:rPr>
        <w:t xml:space="preserve">Mandates, </w:t>
      </w:r>
      <w:r>
        <w:t>265.</w:t>
      </w:r>
    </w:p>
  </w:endnote>
  <w:endnote w:id="15">
    <w:p w14:paraId="0300A939" w14:textId="77777777" w:rsidR="00E13BCB" w:rsidRPr="007F1622" w:rsidRDefault="00E13BCB" w:rsidP="00E13BCB">
      <w:pPr>
        <w:pStyle w:val="EndnoteText"/>
      </w:pPr>
      <w:r>
        <w:rPr>
          <w:rStyle w:val="EndnoteReference"/>
        </w:rPr>
        <w:endnoteRef/>
      </w:r>
      <w:r>
        <w:t xml:space="preserve"> Wright, </w:t>
      </w:r>
      <w:r>
        <w:rPr>
          <w:i/>
        </w:rPr>
        <w:t xml:space="preserve">Mandates, </w:t>
      </w:r>
      <w:r>
        <w:t>267 for both the quote and a definition.  A broader definition, including historical development, is 277-285.</w:t>
      </w:r>
    </w:p>
  </w:endnote>
  <w:endnote w:id="16">
    <w:p w14:paraId="4B68B23E" w14:textId="77777777" w:rsidR="00E13BCB" w:rsidRPr="00BB354B" w:rsidRDefault="00E13BCB" w:rsidP="00E13BCB">
      <w:pPr>
        <w:pStyle w:val="EndnoteText"/>
      </w:pPr>
      <w:r>
        <w:rPr>
          <w:rStyle w:val="EndnoteReference"/>
        </w:rPr>
        <w:endnoteRef/>
      </w:r>
      <w:r>
        <w:t xml:space="preserve"> Wright, </w:t>
      </w:r>
      <w:r>
        <w:rPr>
          <w:i/>
        </w:rPr>
        <w:t xml:space="preserve">Mandates, </w:t>
      </w:r>
      <w:r>
        <w:t>268.  His broader section on divided and collective sovereignty is 300-309, and takes a practical approach, emphasizing “If the fact is generally recognized, legal theory must accommodate itself.” 304.</w:t>
      </w:r>
    </w:p>
  </w:endnote>
  <w:endnote w:id="17">
    <w:p w14:paraId="0A8AD9C2" w14:textId="77777777" w:rsidR="00E13BCB" w:rsidRPr="00C5524B" w:rsidRDefault="00E13BCB" w:rsidP="00E13BCB">
      <w:pPr>
        <w:pStyle w:val="EndnoteText"/>
        <w:rPr>
          <w:i/>
        </w:rPr>
      </w:pPr>
      <w:r>
        <w:rPr>
          <w:rStyle w:val="EndnoteReference"/>
        </w:rPr>
        <w:endnoteRef/>
      </w:r>
      <w:r>
        <w:t xml:space="preserve"> Wright, </w:t>
      </w:r>
      <w:r>
        <w:rPr>
          <w:i/>
        </w:rPr>
        <w:t xml:space="preserve">Mandates, </w:t>
      </w:r>
      <w:r w:rsidRPr="00C5524B">
        <w:t>276-77</w:t>
      </w:r>
      <w:r>
        <w:t>.</w:t>
      </w:r>
    </w:p>
  </w:endnote>
  <w:endnote w:id="18">
    <w:p w14:paraId="0BD09ACE" w14:textId="77777777" w:rsidR="00E13BCB" w:rsidRPr="00B837D8" w:rsidRDefault="00E13BCB" w:rsidP="00E13BCB">
      <w:pPr>
        <w:pStyle w:val="EndnoteText"/>
      </w:pPr>
      <w:r>
        <w:rPr>
          <w:rStyle w:val="EndnoteReference"/>
        </w:rPr>
        <w:endnoteRef/>
      </w:r>
      <w:r>
        <w:t xml:space="preserve"> Wright, </w:t>
      </w:r>
      <w:r>
        <w:rPr>
          <w:i/>
        </w:rPr>
        <w:t xml:space="preserve">Mandates, </w:t>
      </w:r>
      <w:r>
        <w:t xml:space="preserve">269-273 is the section on his assumptions.  Ever mindful of the limitations of the law, he offers “Without denying the convenience of courts or other bodies with ultimate obligatory jurisdiction over every possible dispute in a given territory,…” 270 and “Courts are useful but neither all sufficient nor indispensable.  Political order may exist, not only between territorial groups but also between functional, racial, religious, or other groups in the same territory, when negotiation is more important than jurisdiction in settling disputes.” 271.  He was writing at a time when more and more, political disputes between nations and also between minorities in nations were sending cases to the Permanent International Court of Justice, forcing them to decide matters that had little grounding in law.  </w:t>
      </w:r>
    </w:p>
  </w:endnote>
  <w:endnote w:id="19">
    <w:p w14:paraId="5CCF9492" w14:textId="77777777" w:rsidR="00E13BCB" w:rsidRDefault="00E13BCB" w:rsidP="00E13BCB">
      <w:pPr>
        <w:pStyle w:val="EndnoteText"/>
      </w:pPr>
      <w:r>
        <w:rPr>
          <w:rStyle w:val="EndnoteReference"/>
        </w:rPr>
        <w:endnoteRef/>
      </w:r>
      <w:r>
        <w:t xml:space="preserve"> </w:t>
      </w:r>
      <w:r w:rsidRPr="00827A02">
        <w:t>E. N.</w:t>
      </w:r>
      <w:r>
        <w:t xml:space="preserve"> v</w:t>
      </w:r>
      <w:r w:rsidRPr="00827A02">
        <w:t xml:space="preserve">an Kleffens, </w:t>
      </w:r>
      <w:r w:rsidRPr="00827A02">
        <w:rPr>
          <w:i/>
        </w:rPr>
        <w:t xml:space="preserve">Sovereignty in International Law: Five Lectures, </w:t>
      </w:r>
      <w:r w:rsidRPr="00827A02">
        <w:t>The Hague Academy of International Law, 1953, Vol 82, (Leyde: A. W Sijthoff, 1954</w:t>
      </w:r>
      <w:r>
        <w:t>),</w:t>
      </w:r>
      <w:r w:rsidRPr="00827A02">
        <w:t xml:space="preserve"> 1-131</w:t>
      </w:r>
      <w:r>
        <w:t>.</w:t>
      </w:r>
    </w:p>
  </w:endnote>
  <w:endnote w:id="20">
    <w:p w14:paraId="228386AC" w14:textId="77777777" w:rsidR="00E13BCB" w:rsidRPr="002D699E" w:rsidRDefault="00E13BCB" w:rsidP="00E13BCB">
      <w:pPr>
        <w:pStyle w:val="EndnoteText"/>
      </w:pPr>
      <w:r>
        <w:rPr>
          <w:rStyle w:val="EndnoteReference"/>
        </w:rPr>
        <w:endnoteRef/>
      </w:r>
      <w:r>
        <w:t xml:space="preserve">van Kleffens, </w:t>
      </w:r>
      <w:r>
        <w:rPr>
          <w:i/>
        </w:rPr>
        <w:t xml:space="preserve">Sovereignty, </w:t>
      </w:r>
      <w:r w:rsidRPr="002D699E">
        <w:t>79, has “…in Ulpian’s words: ’Live uprightly, injure no one, and give everyone his due.’</w:t>
      </w:r>
      <w:r>
        <w:t xml:space="preserve">  </w:t>
      </w:r>
      <w:r>
        <w:rPr>
          <w:i/>
        </w:rPr>
        <w:t xml:space="preserve">This </w:t>
      </w:r>
      <w:r>
        <w:t>is, I feel sure, the ultimate command, the golden rule graven in every human heart and conscience quite apart from race, religion or nationality, of evident transcendental origin, objective and the same for all, and binding not only on individual human beings, but also on human institutions and therefore on sovereign states.”</w:t>
      </w:r>
    </w:p>
  </w:endnote>
  <w:endnote w:id="21">
    <w:p w14:paraId="2AD241F6" w14:textId="77777777" w:rsidR="00E13BCB" w:rsidRDefault="00E13BCB" w:rsidP="00E13BCB">
      <w:pPr>
        <w:pStyle w:val="EndnoteText"/>
      </w:pPr>
      <w:r>
        <w:rPr>
          <w:rStyle w:val="EndnoteReference"/>
        </w:rPr>
        <w:endnoteRef/>
      </w:r>
      <w:r>
        <w:t xml:space="preserve"> Van Kleffens, </w:t>
      </w:r>
      <w:r>
        <w:rPr>
          <w:i/>
        </w:rPr>
        <w:t xml:space="preserve">Sovereignty, </w:t>
      </w:r>
      <w:r>
        <w:t>82-3.  The full text is</w:t>
      </w:r>
    </w:p>
    <w:p w14:paraId="5F394D29" w14:textId="77777777" w:rsidR="00E13BCB" w:rsidRPr="00DE4546" w:rsidRDefault="00E13BCB" w:rsidP="00E13BCB">
      <w:pPr>
        <w:pStyle w:val="EndnoteText"/>
      </w:pPr>
      <w:r>
        <w:tab/>
      </w:r>
      <w:r w:rsidRPr="00DE4546">
        <w:t>“What, then does all this mean with regard to sovereignty? It means that the sovereign state in the sense of the omnipotent, completely self-determining entity does not exist and has never existed, hemmed in as it is by a variety of forces which, partly in the form of the co-existence of other states and partly in that of other factors of the most diverse kind, deny it both omnipotence and complete self-determination.  What remains is a number of entities historically called sovereign states which can do as they like in so far as there are no forces (of whatever kind, accepted law being one of them) which restrain them.  The existence of a body of law determining sovereignty and regulating its exercise must be presumed, for sovereignty is not only a factual, but a legal concept, having to do with rights and duties, and it is therefore clear that there must be norms of law governing it.  We here join the adepts of the school of natural law.  The adjective “sovereign” in the sense of omnipotent and self-determining may be explained as a historical delusion, the result of a reaction against the overlordship of popes and emperors, as a result of the pride and ambition of kings and republics, of unsound philosophical and legal reasoning, and of former slow, cumbersome and infrequent means of communication,-but it has never had a foundation in actual fact, nor can it-as a results of the foregoing-ever have such a foundation.”</w:t>
      </w:r>
    </w:p>
  </w:endnote>
  <w:endnote w:id="22">
    <w:p w14:paraId="34521315" w14:textId="77777777" w:rsidR="00E13BCB" w:rsidRDefault="00E13BCB" w:rsidP="00E13BCB">
      <w:pPr>
        <w:pStyle w:val="EndnoteText"/>
      </w:pPr>
      <w:r>
        <w:rPr>
          <w:rStyle w:val="EndnoteReference"/>
        </w:rPr>
        <w:endnoteRef/>
      </w:r>
      <w:r>
        <w:t xml:space="preserve"> Van Kleffens, </w:t>
      </w:r>
      <w:r>
        <w:rPr>
          <w:i/>
        </w:rPr>
        <w:t xml:space="preserve">Sovereignty, </w:t>
      </w:r>
      <w:r>
        <w:t xml:space="preserve">86-7 </w:t>
      </w:r>
    </w:p>
  </w:endnote>
  <w:endnote w:id="23">
    <w:p w14:paraId="4BB2E9C4" w14:textId="77777777" w:rsidR="00E13BCB" w:rsidRPr="00571A12" w:rsidRDefault="00E13BCB" w:rsidP="00E13BCB">
      <w:pPr>
        <w:pStyle w:val="EndnoteText"/>
      </w:pPr>
      <w:r>
        <w:rPr>
          <w:rStyle w:val="EndnoteReference"/>
        </w:rPr>
        <w:endnoteRef/>
      </w:r>
      <w:r>
        <w:t xml:space="preserve"> Van Kleffens, </w:t>
      </w:r>
      <w:r>
        <w:rPr>
          <w:i/>
        </w:rPr>
        <w:t xml:space="preserve">Soveriegnty, </w:t>
      </w:r>
      <w:r w:rsidRPr="00571A12">
        <w:t xml:space="preserve">100 “The Covenant (art 15, para 8) referred in this respect to matters “…which </w:t>
      </w:r>
      <w:r w:rsidRPr="00571A12">
        <w:rPr>
          <w:i/>
        </w:rPr>
        <w:t>by international law</w:t>
      </w:r>
      <w:r w:rsidRPr="00571A12">
        <w:t xml:space="preserve"> [are] solely within the domestic “jurisdiction of a state.”   The Charter (art 2, para 7) omits the reference to international law-a characteristic example of the decline (temporary, no doubt) respect for international law has suffered as a result of the Second World War…”</w:t>
      </w:r>
      <w:r>
        <w:t xml:space="preserve">  </w:t>
      </w:r>
      <w:r w:rsidRPr="00814609">
        <w:t>Mark</w:t>
      </w:r>
      <w:r>
        <w:t xml:space="preserve"> </w:t>
      </w:r>
      <w:r w:rsidRPr="00814609">
        <w:t xml:space="preserve">Mazower, </w:t>
      </w:r>
      <w:r w:rsidRPr="00814609">
        <w:rPr>
          <w:i/>
        </w:rPr>
        <w:t xml:space="preserve">No Enchanted Palace: The End of Empire and the Ideological Origins of the United Nations, </w:t>
      </w:r>
      <w:r w:rsidRPr="00814609">
        <w:t>(Princeton: Princeton University Press, 2009)</w:t>
      </w:r>
      <w:r>
        <w:t xml:space="preserve"> makes a strong point that just after WWII was the low point of trust in international law, 122-3, 150, 193.  A good example of this literature is </w:t>
      </w:r>
      <w:r w:rsidRPr="00527DDC">
        <w:t>George</w:t>
      </w:r>
      <w:r>
        <w:t xml:space="preserve"> </w:t>
      </w:r>
      <w:r w:rsidRPr="00527DDC">
        <w:t>Keeton and Georg</w:t>
      </w:r>
      <w:r>
        <w:t xml:space="preserve"> </w:t>
      </w:r>
      <w:r w:rsidRPr="00527DDC">
        <w:t xml:space="preserve">Schwartzenberger, </w:t>
      </w:r>
      <w:r w:rsidRPr="00527DDC">
        <w:rPr>
          <w:i/>
        </w:rPr>
        <w:t>Making International Law Work, 2</w:t>
      </w:r>
      <w:r w:rsidRPr="00527DDC">
        <w:rPr>
          <w:i/>
          <w:vertAlign w:val="superscript"/>
        </w:rPr>
        <w:t>nd</w:t>
      </w:r>
      <w:r w:rsidRPr="00527DDC">
        <w:rPr>
          <w:i/>
        </w:rPr>
        <w:t xml:space="preserve"> edition, </w:t>
      </w:r>
      <w:r w:rsidRPr="00527DDC">
        <w:t>London: Stevens and Sons, Ltd, 1946</w:t>
      </w:r>
      <w:r>
        <w:t>.  This is an attempt to try to reconcile power politics and international law.</w:t>
      </w:r>
    </w:p>
  </w:endnote>
  <w:endnote w:id="24">
    <w:p w14:paraId="29BED594" w14:textId="77777777" w:rsidR="00E13BCB" w:rsidRPr="00C13D7F" w:rsidRDefault="00E13BCB" w:rsidP="00E13BCB">
      <w:pPr>
        <w:pStyle w:val="EndnoteText"/>
      </w:pPr>
      <w:r>
        <w:rPr>
          <w:rStyle w:val="EndnoteReference"/>
        </w:rPr>
        <w:endnoteRef/>
      </w:r>
      <w:r>
        <w:t xml:space="preserve"> Van Kleffens, </w:t>
      </w:r>
      <w:r>
        <w:rPr>
          <w:i/>
        </w:rPr>
        <w:t xml:space="preserve">Sovereignty, </w:t>
      </w:r>
      <w:r>
        <w:t>130,</w:t>
      </w:r>
      <w:r w:rsidRPr="00C13D7F">
        <w:t xml:space="preserve"> “In other words: the notion of sovereignty continues to be a dominating element in the treasure house of our heart and mind; we are strongly affected by it, and it is part of nearly everybody’s being.  To ignore this fact would be silly.  One has to take the human race as it is, and not as we should like it to be.”</w:t>
      </w:r>
      <w:r>
        <w:t xml:space="preserve">  The next quote is from the same page.</w:t>
      </w:r>
    </w:p>
  </w:endnote>
  <w:endnote w:id="25">
    <w:p w14:paraId="19144C49" w14:textId="77777777" w:rsidR="00E13BCB" w:rsidRPr="00AC7032" w:rsidRDefault="00E13BCB" w:rsidP="00E13BCB">
      <w:pPr>
        <w:pStyle w:val="EndnoteText"/>
      </w:pPr>
      <w:r>
        <w:rPr>
          <w:rStyle w:val="EndnoteReference"/>
        </w:rPr>
        <w:endnoteRef/>
      </w:r>
      <w:r>
        <w:t xml:space="preserve"> St Korowicz, </w:t>
      </w:r>
      <w:r>
        <w:rPr>
          <w:i/>
        </w:rPr>
        <w:t xml:space="preserve">Introduction, </w:t>
      </w:r>
      <w:r>
        <w:t>66.</w:t>
      </w:r>
    </w:p>
  </w:endnote>
  <w:endnote w:id="26">
    <w:p w14:paraId="3ABF44DE" w14:textId="77777777" w:rsidR="00E13BCB" w:rsidRPr="00215AB5" w:rsidRDefault="00E13BCB" w:rsidP="00E13BCB">
      <w:pPr>
        <w:pStyle w:val="EndnoteText"/>
      </w:pPr>
      <w:r>
        <w:rPr>
          <w:rStyle w:val="EndnoteReference"/>
        </w:rPr>
        <w:endnoteRef/>
      </w:r>
      <w:r>
        <w:t xml:space="preserve"> St Korowicz, </w:t>
      </w:r>
      <w:r>
        <w:rPr>
          <w:i/>
        </w:rPr>
        <w:t xml:space="preserve">Introduction, </w:t>
      </w:r>
      <w:r>
        <w:t>23.</w:t>
      </w:r>
    </w:p>
  </w:endnote>
  <w:endnote w:id="27">
    <w:p w14:paraId="56C1C2E7" w14:textId="77777777" w:rsidR="00E13BCB" w:rsidRPr="00215AB5" w:rsidRDefault="00E13BCB" w:rsidP="00E13BCB">
      <w:pPr>
        <w:pStyle w:val="EndnoteText"/>
      </w:pPr>
      <w:r>
        <w:rPr>
          <w:rStyle w:val="EndnoteReference"/>
        </w:rPr>
        <w:endnoteRef/>
      </w:r>
      <w:r>
        <w:t xml:space="preserve"> St Korowicz, </w:t>
      </w:r>
      <w:r>
        <w:rPr>
          <w:i/>
        </w:rPr>
        <w:t xml:space="preserve">Introduction, </w:t>
      </w:r>
      <w:r>
        <w:t>65-6.</w:t>
      </w:r>
    </w:p>
  </w:endnote>
  <w:endnote w:id="28">
    <w:p w14:paraId="625EF1FB" w14:textId="77777777" w:rsidR="00E13BCB" w:rsidRDefault="00E13BCB" w:rsidP="00E13BCB">
      <w:pPr>
        <w:pStyle w:val="EndnoteText"/>
      </w:pPr>
      <w:r>
        <w:rPr>
          <w:rStyle w:val="EndnoteReference"/>
        </w:rPr>
        <w:endnoteRef/>
      </w:r>
      <w:r>
        <w:t xml:space="preserve"> St Korowicz, </w:t>
      </w:r>
      <w:r>
        <w:rPr>
          <w:i/>
        </w:rPr>
        <w:t xml:space="preserve">Introduction, </w:t>
      </w:r>
      <w:r>
        <w:t xml:space="preserve">165: “When compared with Art. 15/8 of the Covenant, Art. 2/7 of the Charter constitutes an obvious step in favor of a lesser limitation of sovereignty.  From the point of view of international cooperation and of the authority of international organization, this may be considered as a retrogression,…” </w:t>
      </w:r>
    </w:p>
    <w:p w14:paraId="6F7610C2" w14:textId="77777777" w:rsidR="00E13BCB" w:rsidRPr="00CE0AB1" w:rsidRDefault="00E13BCB" w:rsidP="00E13BCB">
      <w:pPr>
        <w:pStyle w:val="EndnoteText"/>
      </w:pPr>
      <w:r>
        <w:t xml:space="preserve">In his section on the various opinions of publicists who write on domestic jurisdiction 166-72 he placed himself squarely on the side of those jealously defending the right of the States to decide what is and isn’t covered against those supporting a broader interpretation of the UN’s ability to intervene in the States.   </w:t>
      </w:r>
    </w:p>
  </w:endnote>
  <w:endnote w:id="29">
    <w:p w14:paraId="1F6DD5DE" w14:textId="77777777" w:rsidR="00E13BCB" w:rsidRPr="001961EE" w:rsidRDefault="00E13BCB" w:rsidP="00E13BCB">
      <w:pPr>
        <w:pStyle w:val="EndnoteText"/>
      </w:pPr>
      <w:r>
        <w:rPr>
          <w:rStyle w:val="EndnoteReference"/>
        </w:rPr>
        <w:endnoteRef/>
      </w:r>
      <w:r>
        <w:t xml:space="preserve"> St Korowicz, </w:t>
      </w:r>
      <w:r>
        <w:rPr>
          <w:i/>
        </w:rPr>
        <w:t xml:space="preserve">Introduction, </w:t>
      </w:r>
      <w:r>
        <w:t>244.</w:t>
      </w:r>
    </w:p>
  </w:endnote>
  <w:endnote w:id="30">
    <w:p w14:paraId="53B274FF" w14:textId="77777777" w:rsidR="00E13BCB" w:rsidRPr="001961EE" w:rsidRDefault="00E13BCB" w:rsidP="00E13BCB">
      <w:pPr>
        <w:pStyle w:val="EndnoteText"/>
      </w:pPr>
      <w:r>
        <w:rPr>
          <w:rStyle w:val="EndnoteReference"/>
        </w:rPr>
        <w:endnoteRef/>
      </w:r>
      <w:r>
        <w:t xml:space="preserve"> St Korowicz, </w:t>
      </w:r>
      <w:r>
        <w:rPr>
          <w:i/>
        </w:rPr>
        <w:t xml:space="preserve">Introduction, </w:t>
      </w:r>
      <w:r>
        <w:t>237-245.</w:t>
      </w:r>
    </w:p>
  </w:endnote>
  <w:endnote w:id="31">
    <w:p w14:paraId="003F4231" w14:textId="77777777" w:rsidR="00E13BCB" w:rsidRPr="001D546F" w:rsidRDefault="00E13BCB" w:rsidP="00E13BCB">
      <w:pPr>
        <w:pStyle w:val="EndnoteText"/>
      </w:pPr>
      <w:r>
        <w:rPr>
          <w:rStyle w:val="EndnoteReference"/>
        </w:rPr>
        <w:endnoteRef/>
      </w:r>
      <w:r>
        <w:t xml:space="preserve"> St Korowicz, </w:t>
      </w:r>
      <w:r>
        <w:rPr>
          <w:i/>
        </w:rPr>
        <w:t xml:space="preserve">Introduction, </w:t>
      </w:r>
      <w:r>
        <w:t>268-273, the section on ‘Some Cases of Legal Inequality’, has him expressing his opinions on the subject.  258 has him connecting equality before the law and sovereignty.</w:t>
      </w:r>
    </w:p>
  </w:endnote>
  <w:endnote w:id="32">
    <w:p w14:paraId="15DB0654" w14:textId="77777777" w:rsidR="00E13BCB" w:rsidRPr="00513151" w:rsidRDefault="00E13BCB" w:rsidP="00E13BCB">
      <w:pPr>
        <w:pStyle w:val="EndnoteText"/>
        <w:tabs>
          <w:tab w:val="left" w:pos="6051"/>
        </w:tabs>
      </w:pPr>
      <w:r>
        <w:rPr>
          <w:rStyle w:val="EndnoteReference"/>
        </w:rPr>
        <w:endnoteRef/>
      </w:r>
      <w:r>
        <w:t xml:space="preserve"> An contemporary general approach to the problem of mandates is </w:t>
      </w:r>
      <w:r w:rsidRPr="00F130DE">
        <w:t>Duncan H.</w:t>
      </w:r>
      <w:r>
        <w:t xml:space="preserve"> </w:t>
      </w:r>
      <w:r w:rsidRPr="00F130DE">
        <w:t xml:space="preserve">Hall, “The International Frontier,” </w:t>
      </w:r>
      <w:r w:rsidRPr="00F130DE">
        <w:rPr>
          <w:i/>
        </w:rPr>
        <w:t xml:space="preserve">The American Journal of International Law, </w:t>
      </w:r>
      <w:r w:rsidRPr="00F130DE">
        <w:t>Vol. 42, No. 1 (Jan., 1948)</w:t>
      </w:r>
      <w:r>
        <w:t xml:space="preserve">.  Hall was an academic who also worked in the Secretariat of the LN.  He created a taxonomy of mandates, trusteeships and many other imposed abrogations of sovereignty.  There is a list on 46 and he claims there that putting them all together is a new idea.  His is a realpolitik notion, stripped of morality and humanitarian concerns.  Some states are strong, and can impose such conditions on weak states in order to postpone conflicts with other powerful states.  46 has </w:t>
      </w:r>
      <w:r w:rsidRPr="00513151">
        <w:t>“Mandates and trusteeship, and the other varieties of the species to which they belong, have flourished in a kind of international no man’s land.  The characteristic of such no man’s land is the absence or breakdown of sovereignty.  It is an area of low political pressure into which forces of the strong, well- organized states tend to expand and where their spheres of influence may overlap and clash.  To it belong weak ungrouped and unprotected states which temporarily, through civil war or other factors, have lost their power and cohesion, and thus lie open to pressures and invading forces.”</w:t>
      </w:r>
    </w:p>
    <w:p w14:paraId="0E8E84A9" w14:textId="77777777" w:rsidR="00E13BCB" w:rsidRDefault="00E13BCB" w:rsidP="00E13BCB">
      <w:pPr>
        <w:pStyle w:val="EndnoteText"/>
        <w:tabs>
          <w:tab w:val="left" w:pos="6051"/>
        </w:tabs>
      </w:pPr>
      <w:r>
        <w:t xml:space="preserve">  </w:t>
      </w:r>
      <w:r>
        <w:tab/>
        <w:t xml:space="preserve"> </w:t>
      </w:r>
    </w:p>
  </w:endnote>
  <w:endnote w:id="33">
    <w:p w14:paraId="0C83F576" w14:textId="77777777" w:rsidR="00E13BCB" w:rsidRDefault="00E13BCB" w:rsidP="00E13BCB">
      <w:pPr>
        <w:pStyle w:val="EndnoteText"/>
      </w:pPr>
      <w:r>
        <w:rPr>
          <w:rStyle w:val="EndnoteReference"/>
        </w:rPr>
        <w:endnoteRef/>
      </w:r>
      <w:r>
        <w:t xml:space="preserve"> </w:t>
      </w:r>
      <w:r w:rsidRPr="004B300B">
        <w:t xml:space="preserve">Alan Levine, </w:t>
      </w:r>
      <w:r>
        <w:t>“</w:t>
      </w:r>
      <w:r w:rsidRPr="004B300B">
        <w:t>The Status of Sovereignty in East Jerusalem and the West Bank</w:t>
      </w:r>
      <w:r>
        <w:t>”</w:t>
      </w:r>
      <w:r w:rsidRPr="004B300B">
        <w:t>, 5 N.Y.U. J. Int'l L. &amp; Pol. 485 (1972)</w:t>
      </w:r>
      <w:r>
        <w:t>, 489: “</w:t>
      </w:r>
      <w:r w:rsidRPr="004B300B">
        <w:t>The starting point for any modern discussion, and perhaps the source of confusion, is the renunciation of rights by Turkey and the simultaneous devolution of mandatory authority upon Great Britain. As unambiguous as Turkey's sovereign status is prior to 1923, her successor-in-interest has yet to be conclusively determined.</w:t>
      </w:r>
      <w:r>
        <w:t xml:space="preserve">”  </w:t>
      </w:r>
      <w:r w:rsidRPr="004B300B">
        <w:t xml:space="preserve">Shabtai Rosenne, </w:t>
      </w:r>
      <w:r>
        <w:t>“</w:t>
      </w:r>
      <w:r w:rsidRPr="004B300B">
        <w:t>Directions for a Middle East Settlement--Some Underlying Legal Problems</w:t>
      </w:r>
      <w:r>
        <w:t>”</w:t>
      </w:r>
      <w:r w:rsidRPr="004B300B">
        <w:t>, 33 Law &amp; Contemp. Probs. 44 (1968)</w:t>
      </w:r>
      <w:r>
        <w:t xml:space="preserve">, 47-8  agrees, as does Elihu </w:t>
      </w:r>
      <w:r w:rsidRPr="00515361">
        <w:t xml:space="preserve">Lauterpacht, </w:t>
      </w:r>
      <w:r>
        <w:t>“</w:t>
      </w:r>
      <w:r w:rsidRPr="00515361">
        <w:t>The Contemporary Practice of the United Kingdom in the Field of International Law-Survey and Comment</w:t>
      </w:r>
      <w:r>
        <w:t>”</w:t>
      </w:r>
      <w:r w:rsidRPr="00515361">
        <w:t>, IV, 6 Int'l &amp; Comp. L.Q. 506 (1957)</w:t>
      </w:r>
      <w:r>
        <w:t>, 514: “</w:t>
      </w:r>
      <w:r w:rsidRPr="00515361">
        <w:t>The only certain starting  point  in  any  consideration  of  the· present status of the Gaza strip is the fact that  prior  to  the  coming· into force of the Treaty of Lausanne</w:t>
      </w:r>
      <w:r>
        <w:t>…”</w:t>
      </w:r>
    </w:p>
  </w:endnote>
  <w:endnote w:id="34">
    <w:p w14:paraId="3D6C6007" w14:textId="77777777" w:rsidR="00E13BCB" w:rsidRPr="00E45AA8" w:rsidRDefault="00E13BCB" w:rsidP="00E13BCB">
      <w:pPr>
        <w:pStyle w:val="EndnoteText"/>
      </w:pPr>
      <w:r>
        <w:rPr>
          <w:rStyle w:val="EndnoteReference"/>
        </w:rPr>
        <w:endnoteRef/>
      </w:r>
      <w:r>
        <w:t xml:space="preserve"> Wright, </w:t>
      </w:r>
      <w:r>
        <w:rPr>
          <w:i/>
        </w:rPr>
        <w:t xml:space="preserve">Mandates, </w:t>
      </w:r>
      <w:r>
        <w:t>Vii. 265:</w:t>
      </w:r>
      <w:r w:rsidRPr="00E45AA8">
        <w:t xml:space="preserve"> ”So also the mandatory system has worked successfully for nearly a decade thought there has never been an official assertion as to the location of sov</w:t>
      </w:r>
      <w:r>
        <w:t>ereignty</w:t>
      </w:r>
      <w:r w:rsidRPr="00E45AA8">
        <w:t xml:space="preserve"> and though the opinions of unofficial jurists on the subject have been almost as numerous and as diverse as the jurists who have devoted themselves to the study.”</w:t>
      </w:r>
      <w:r>
        <w:t xml:space="preserve">  </w:t>
      </w:r>
    </w:p>
  </w:endnote>
  <w:endnote w:id="35">
    <w:p w14:paraId="01ACC65E" w14:textId="77777777" w:rsidR="00E13BCB" w:rsidRPr="00FF0DD1" w:rsidRDefault="00E13BCB" w:rsidP="00E13BCB">
      <w:pPr>
        <w:pStyle w:val="EndnoteText"/>
      </w:pPr>
      <w:r>
        <w:rPr>
          <w:rStyle w:val="EndnoteReference"/>
        </w:rPr>
        <w:endnoteRef/>
      </w:r>
      <w:r>
        <w:t xml:space="preserve"> Wright, </w:t>
      </w:r>
      <w:r>
        <w:rPr>
          <w:i/>
        </w:rPr>
        <w:t xml:space="preserve">Mandates, </w:t>
      </w:r>
      <w:r>
        <w:t>319-339 is the section on “The Location of Sovereignty”.  Lauterpacht, “Contemporary Practice” seems to use this as a framework of questions,</w:t>
      </w:r>
      <w:r w:rsidRPr="001A6D3D">
        <w:t xml:space="preserve"> Pedersen, </w:t>
      </w:r>
      <w:r w:rsidRPr="001A6D3D">
        <w:rPr>
          <w:i/>
        </w:rPr>
        <w:t>The Guardians</w:t>
      </w:r>
      <w:r>
        <w:rPr>
          <w:i/>
        </w:rPr>
        <w:t>,</w:t>
      </w:r>
      <w:r>
        <w:t xml:space="preserve"> 205, simply uses this list, as does Levine, “Status of Sovereignty”, 489 . </w:t>
      </w:r>
    </w:p>
  </w:endnote>
  <w:endnote w:id="36">
    <w:p w14:paraId="5C42B753" w14:textId="77777777" w:rsidR="00E13BCB" w:rsidRPr="005E2346" w:rsidRDefault="00E13BCB" w:rsidP="00E13BCB">
      <w:pPr>
        <w:pStyle w:val="EndnoteText"/>
      </w:pPr>
      <w:r>
        <w:rPr>
          <w:rStyle w:val="EndnoteReference"/>
        </w:rPr>
        <w:endnoteRef/>
      </w:r>
      <w:r>
        <w:t xml:space="preserve"> Wright, </w:t>
      </w:r>
      <w:r>
        <w:rPr>
          <w:i/>
        </w:rPr>
        <w:t xml:space="preserve">Mandates, </w:t>
      </w:r>
      <w:r>
        <w:t>530.</w:t>
      </w:r>
    </w:p>
  </w:endnote>
  <w:endnote w:id="37">
    <w:p w14:paraId="067FC752" w14:textId="77777777" w:rsidR="00E13BCB" w:rsidRPr="005E2346" w:rsidRDefault="00E13BCB" w:rsidP="00E13BCB">
      <w:pPr>
        <w:pStyle w:val="EndnoteText"/>
      </w:pPr>
      <w:r>
        <w:rPr>
          <w:rStyle w:val="EndnoteReference"/>
        </w:rPr>
        <w:endnoteRef/>
      </w:r>
      <w:r>
        <w:t xml:space="preserve"> Wright, </w:t>
      </w:r>
      <w:r>
        <w:rPr>
          <w:i/>
        </w:rPr>
        <w:t xml:space="preserve">Mandates, </w:t>
      </w:r>
      <w:r>
        <w:t xml:space="preserve">331.  His section on other jurist’s understanding of the mandate system, 315-318, concludes with </w:t>
      </w:r>
      <w:r w:rsidRPr="00002C3B">
        <w:t xml:space="preserve">“Though some writers regard the mandates system as a modified form of protectorate most of them think it establishes a new institution of </w:t>
      </w:r>
      <w:r>
        <w:t>international law</w:t>
      </w:r>
      <w:r w:rsidRPr="00002C3B">
        <w:t xml:space="preserve"> for controlling the administration of backward territory.”</w:t>
      </w:r>
      <w:r>
        <w:t xml:space="preserve">  He slightly undercuts this notion in his overview of other thinkers on the subject by concluding, 339 “Thus jurists have less and less found it possible to attribute complete sovereignty over a mandated area to a single state.  Theories of divided and of suspended sovereignty have also been less frequently advanced, while doctrines of collective and of qualified sovereignty have increased in support.”  We might contrast all this with Hall, </w:t>
      </w:r>
      <w:r>
        <w:rPr>
          <w:i/>
        </w:rPr>
        <w:t xml:space="preserve">Mandates, </w:t>
      </w:r>
      <w:r>
        <w:t xml:space="preserve">not a jurist but a political scientist, and so he is willing to simply report how sovereignty was treated when it came up.  In his eyes, 81, the Permanent Mandates Commission always expected that all three classes of mandates would become independent states one day, and worked to protect that possibility.  </w:t>
      </w:r>
    </w:p>
  </w:endnote>
  <w:endnote w:id="38">
    <w:p w14:paraId="6F0E48F0" w14:textId="77777777" w:rsidR="00E13BCB" w:rsidRPr="00002C3B" w:rsidRDefault="00E13BCB" w:rsidP="00E13BCB">
      <w:pPr>
        <w:pStyle w:val="EndnoteText"/>
      </w:pPr>
      <w:r>
        <w:rPr>
          <w:rStyle w:val="EndnoteReference"/>
        </w:rPr>
        <w:endnoteRef/>
      </w:r>
      <w:r>
        <w:t xml:space="preserve"> Wright, </w:t>
      </w:r>
      <w:r>
        <w:rPr>
          <w:i/>
        </w:rPr>
        <w:t xml:space="preserve">Mandates, </w:t>
      </w:r>
      <w:r>
        <w:t>314.</w:t>
      </w:r>
    </w:p>
  </w:endnote>
  <w:endnote w:id="39">
    <w:p w14:paraId="12110937" w14:textId="77777777" w:rsidR="00E13BCB" w:rsidRPr="007F0F23" w:rsidRDefault="00E13BCB" w:rsidP="00E13BCB">
      <w:pPr>
        <w:pStyle w:val="EndnoteText"/>
      </w:pPr>
      <w:r>
        <w:rPr>
          <w:rStyle w:val="EndnoteReference"/>
        </w:rPr>
        <w:endnoteRef/>
      </w:r>
      <w:r>
        <w:t xml:space="preserve"> Pedersen, </w:t>
      </w:r>
      <w:r>
        <w:rPr>
          <w:i/>
        </w:rPr>
        <w:t xml:space="preserve">Guardians, </w:t>
      </w:r>
      <w:r>
        <w:t>205, notes that the issue was never sent to the PICJ, and so remained open.</w:t>
      </w:r>
    </w:p>
  </w:endnote>
  <w:endnote w:id="40">
    <w:p w14:paraId="329B375B" w14:textId="77777777" w:rsidR="00E13BCB" w:rsidRPr="00D916B1" w:rsidRDefault="00E13BCB" w:rsidP="00E13BCB">
      <w:pPr>
        <w:pStyle w:val="EndnoteText"/>
      </w:pPr>
      <w:r>
        <w:rPr>
          <w:rStyle w:val="EndnoteReference"/>
        </w:rPr>
        <w:endnoteRef/>
      </w:r>
      <w:r>
        <w:t xml:space="preserve"> Wright, </w:t>
      </w:r>
      <w:r>
        <w:rPr>
          <w:i/>
        </w:rPr>
        <w:t xml:space="preserve">Mandates, </w:t>
      </w:r>
      <w:r>
        <w:t xml:space="preserve">498-99.  He also notes </w:t>
      </w:r>
      <w:r w:rsidRPr="00BE50CB">
        <w:t>“Any one of four documents might be considered fundamental law of each mandated area:…”</w:t>
      </w:r>
      <w:r>
        <w:t xml:space="preserve">, 516.  A more modern scholar,  </w:t>
      </w:r>
      <w:r w:rsidRPr="00CC761B">
        <w:t>W.</w:t>
      </w:r>
      <w:r>
        <w:t xml:space="preserve"> </w:t>
      </w:r>
      <w:r w:rsidRPr="00CC761B">
        <w:t xml:space="preserve">Ofuatey-Kodjoe, </w:t>
      </w:r>
      <w:r w:rsidRPr="00CC761B">
        <w:rPr>
          <w:i/>
        </w:rPr>
        <w:t xml:space="preserve">The Principal of Self-Determination in International Law, </w:t>
      </w:r>
      <w:r w:rsidRPr="00CC761B">
        <w:t>(New York: Nellen Publishing), 1977</w:t>
      </w:r>
      <w:r>
        <w:t xml:space="preserve">, 88, offers </w:t>
      </w:r>
      <w:r w:rsidRPr="00CC761B">
        <w:t>“Article 22 of the LN Covenant, which is the formal basis of the Mandates system, is a legal purist’s nightmare, and unsurprisingly, it has attracted a variety of contradictory interpretations.”</w:t>
      </w:r>
      <w:r>
        <w:t xml:space="preserve">  A supporter of murky writing is Duncan, </w:t>
      </w:r>
      <w:r>
        <w:rPr>
          <w:i/>
        </w:rPr>
        <w:t xml:space="preserve">Mandates, </w:t>
      </w:r>
      <w:r>
        <w:t xml:space="preserve">36-7 and 41 where he argues that the ambiguity  allowed the mandatories to get things done and the negotiators to get signatures on the document.  It is important to note, however, that Duncan is a post-war </w:t>
      </w:r>
      <w:r>
        <w:rPr>
          <w:i/>
        </w:rPr>
        <w:t xml:space="preserve">realpolitik </w:t>
      </w:r>
      <w:r w:rsidRPr="00D916B1">
        <w:t>thinker, and</w:t>
      </w:r>
      <w:r>
        <w:t xml:space="preserve"> he appreciates the ambiguity precisely because it allowed the mandatories to edge that much closer to being rulers.  Like so many others of the era, he believed that tutelage of lesser-developed people was appropriate and that the Europeans were the ones to do the job.  Too much clarity, and Wright would have agreed, would have hamstrung their ability to use power as they saw fit.  </w:t>
      </w:r>
    </w:p>
  </w:endnote>
  <w:endnote w:id="41">
    <w:p w14:paraId="07A776A1" w14:textId="77777777" w:rsidR="00E13BCB" w:rsidRPr="00BE50CB" w:rsidRDefault="00E13BCB" w:rsidP="00E13BCB">
      <w:pPr>
        <w:pStyle w:val="EndnoteText"/>
      </w:pPr>
      <w:r>
        <w:rPr>
          <w:rStyle w:val="EndnoteReference"/>
        </w:rPr>
        <w:endnoteRef/>
      </w:r>
      <w:r>
        <w:t xml:space="preserve"> Wright, </w:t>
      </w:r>
      <w:r>
        <w:rPr>
          <w:i/>
        </w:rPr>
        <w:t xml:space="preserve">Mandates, </w:t>
      </w:r>
      <w:r>
        <w:t>273.</w:t>
      </w:r>
    </w:p>
  </w:endnote>
  <w:endnote w:id="42">
    <w:p w14:paraId="3E7EA66D" w14:textId="77777777" w:rsidR="00E13BCB" w:rsidRPr="007D19D0" w:rsidRDefault="00E13BCB" w:rsidP="00E13BCB">
      <w:pPr>
        <w:pStyle w:val="EndnoteText"/>
      </w:pPr>
      <w:r>
        <w:rPr>
          <w:rStyle w:val="EndnoteReference"/>
        </w:rPr>
        <w:endnoteRef/>
      </w:r>
      <w:r>
        <w:t xml:space="preserve"> Lauterpacht, “Contemporary Practice”, 513 was the only one to bother to note that while there seems to be no sovereignty, that does not mean that this is </w:t>
      </w:r>
      <w:r>
        <w:rPr>
          <w:i/>
        </w:rPr>
        <w:t xml:space="preserve">terra nullius, </w:t>
      </w:r>
      <w:r>
        <w:t xml:space="preserve">a concept used to claim and colonize the lands of “uncivilized peoples” without recognizing that they might have any sovereign rights.  The others doubtless thought it too obvious to mention, though it was probably the only understanding of absent sovereignty in international law until the mandate system.   </w:t>
      </w:r>
    </w:p>
  </w:endnote>
  <w:endnote w:id="43">
    <w:p w14:paraId="1BC37652" w14:textId="77777777" w:rsidR="00E13BCB" w:rsidRPr="00E34D8E" w:rsidRDefault="00E13BCB" w:rsidP="00E13BCB">
      <w:pPr>
        <w:pStyle w:val="EndnoteText"/>
      </w:pPr>
      <w:r>
        <w:rPr>
          <w:rStyle w:val="EndnoteReference"/>
        </w:rPr>
        <w:endnoteRef/>
      </w:r>
      <w:r>
        <w:t xml:space="preserve"> Pedersen, </w:t>
      </w:r>
      <w:r>
        <w:rPr>
          <w:i/>
        </w:rPr>
        <w:t xml:space="preserve">Guardians, </w:t>
      </w:r>
      <w:r>
        <w:t>204, italics in the original.  The full passage is worth considering:</w:t>
      </w:r>
      <w:r w:rsidRPr="00E34D8E">
        <w:rPr>
          <w:sz w:val="28"/>
          <w:szCs w:val="28"/>
        </w:rPr>
        <w:t xml:space="preserve"> </w:t>
      </w:r>
      <w:r w:rsidRPr="00E34D8E">
        <w:t xml:space="preserve">“No question raised by the mandates system was more disputed than that of sovereignty.  The system purported to be an alternative and a barrier to annexation-that is, to deny the conquering powers full sovereignty- but neither the Covenant nor the crucial Hyman Report of Aug 1920 defining its character specified just where sovereignty lay.  The problem wasn’t simply that the legal question was complicated, although it was.  It was also that the mandatory powers </w:t>
      </w:r>
      <w:r w:rsidRPr="00E34D8E">
        <w:rPr>
          <w:i/>
        </w:rPr>
        <w:t>preferred</w:t>
      </w:r>
      <w:r w:rsidRPr="00E34D8E">
        <w:t xml:space="preserve"> to leave it unresolved.”</w:t>
      </w:r>
      <w:r>
        <w:t xml:space="preserve">  Wright also believed the system to be a political construction, but didn’t comment on the motivations, 3:</w:t>
      </w:r>
      <w:r w:rsidRPr="00E34D8E">
        <w:t xml:space="preserve"> “This system, like most other political innovations, was not a product of disinterested juristic thought nor of detached scientific investigation but was a compromise invented by the Versailles statesmen to meet an immediate political dilemma.”</w:t>
      </w:r>
    </w:p>
  </w:endnote>
  <w:endnote w:id="44">
    <w:p w14:paraId="349EEFA5" w14:textId="77777777" w:rsidR="00E13BCB" w:rsidRPr="00EA609E" w:rsidRDefault="00E13BCB" w:rsidP="00E13BCB">
      <w:pPr>
        <w:pStyle w:val="EndnoteText"/>
        <w:rPr>
          <w:i/>
        </w:rPr>
      </w:pPr>
      <w:r>
        <w:rPr>
          <w:rStyle w:val="EndnoteReference"/>
        </w:rPr>
        <w:endnoteRef/>
      </w:r>
      <w:r>
        <w:t xml:space="preserve"> The introduction on the development of the LN’s mandate system in </w:t>
      </w:r>
      <w:r w:rsidRPr="00AA3E2F">
        <w:t>Ernst B. Haas</w:t>
      </w:r>
      <w:r>
        <w:t>, “</w:t>
      </w:r>
      <w:r w:rsidRPr="00AA3E2F">
        <w:t>The Attempt to Terminate Colonialism: Acceptance of the United Nations Trusteeship System</w:t>
      </w:r>
      <w:r>
        <w:t xml:space="preserve">,” </w:t>
      </w:r>
      <w:r w:rsidRPr="00AA3E2F">
        <w:rPr>
          <w:i/>
        </w:rPr>
        <w:t xml:space="preserve">International Organization, </w:t>
      </w:r>
      <w:r w:rsidRPr="00AA3E2F">
        <w:t>Vol. 7, No. 1 (Feb., 1953),</w:t>
      </w:r>
      <w:r>
        <w:t xml:space="preserve"> 1-3 understands the compromises in much this way.  </w:t>
      </w:r>
      <w:r w:rsidRPr="00EA609E">
        <w:t>Brian</w:t>
      </w:r>
      <w:r>
        <w:t xml:space="preserve"> </w:t>
      </w:r>
      <w:r w:rsidRPr="00EA609E">
        <w:t xml:space="preserve">Urquhart, </w:t>
      </w:r>
      <w:r w:rsidRPr="00EA609E">
        <w:rPr>
          <w:i/>
        </w:rPr>
        <w:t xml:space="preserve">Ralph Bunche, An American Life, </w:t>
      </w:r>
      <w:r w:rsidRPr="00EA609E">
        <w:t>(New York: W.W. Norton &amp; Co., 1993)</w:t>
      </w:r>
      <w:r>
        <w:t xml:space="preserve">, 51, notes that Ralph Bunche wrote his Harvard PhD dissertation on the difference in administration between French colonies and mandates in Africa but found none at all; they were all treated as colonies. </w:t>
      </w:r>
    </w:p>
  </w:endnote>
  <w:endnote w:id="45">
    <w:p w14:paraId="505C6E33" w14:textId="77777777" w:rsidR="00E13BCB" w:rsidRPr="00174EF0" w:rsidRDefault="00E13BCB" w:rsidP="00E13BCB">
      <w:pPr>
        <w:pStyle w:val="EndnoteText"/>
      </w:pPr>
      <w:r>
        <w:rPr>
          <w:rStyle w:val="EndnoteReference"/>
        </w:rPr>
        <w:endnoteRef/>
      </w:r>
      <w:r>
        <w:t xml:space="preserve"> Pedersen, </w:t>
      </w:r>
      <w:r>
        <w:rPr>
          <w:i/>
        </w:rPr>
        <w:t xml:space="preserve">Guardians, </w:t>
      </w:r>
      <w:r>
        <w:t xml:space="preserve">232.  Hall, </w:t>
      </w:r>
      <w:r>
        <w:rPr>
          <w:i/>
        </w:rPr>
        <w:t xml:space="preserve">Mandates, </w:t>
      </w:r>
      <w:r>
        <w:t>69, comments on this:</w:t>
      </w:r>
      <w:r w:rsidRPr="00174EF0">
        <w:t xml:space="preserve"> “The purpose of Art 22 as expounded by some of the commentators and writers on mandates was to create a kind of international island entirely surrounded by international law, a sort of neutral no man’s land from which sovereignty had faded out-at least temporarily-leaving it virtually free from the contamination of imperialist and nationalist wars between the powers.  A demilitarized  zone or neutralized area was likely to be a signpost pointing to the danger of involvement in war.”</w:t>
      </w:r>
      <w:r>
        <w:t xml:space="preserve">  While he is comfortable with ambiguity in the language, he was clear, 71-2, that he thought that any attempt to keep the mandates out of conflicts would be a failure from past experience. </w:t>
      </w:r>
      <w:r w:rsidRPr="00174EF0">
        <w:t xml:space="preserve">   </w:t>
      </w:r>
    </w:p>
  </w:endnote>
  <w:endnote w:id="46">
    <w:p w14:paraId="04FC6B87" w14:textId="77777777" w:rsidR="00E13BCB" w:rsidRDefault="00E13BCB" w:rsidP="00E13BCB">
      <w:pPr>
        <w:pStyle w:val="EndnoteText"/>
      </w:pPr>
      <w:r>
        <w:rPr>
          <w:rStyle w:val="EndnoteReference"/>
        </w:rPr>
        <w:endnoteRef/>
      </w:r>
      <w:r>
        <w:t xml:space="preserve"> The text:</w:t>
      </w:r>
      <w:r w:rsidRPr="003B3003">
        <w:rPr>
          <w:rFonts w:ascii="Times New Roman" w:eastAsia="Times New Roman" w:hAnsi="Times New Roman" w:cs="Times New Roman"/>
        </w:rPr>
        <w:t xml:space="preserve"> </w:t>
      </w:r>
      <w:r>
        <w:rPr>
          <w:rFonts w:ascii="Times New Roman" w:eastAsia="Times New Roman" w:hAnsi="Times New Roman" w:cs="Times New Roman"/>
        </w:rPr>
        <w:t>“</w:t>
      </w:r>
      <w:r w:rsidRPr="003B3003">
        <w:t>His Majesty's government view with favour the establishment in Palestine of a national home for the Jewish people, and will use their best endeavours to facilitate the achievement of this object, it being clearly understood that nothing shall be done which may prejudice the civil and religious rights of existing non-Jewish communities in Palestine, or the rights and political status enjoyed by Jews in any other country.</w:t>
      </w:r>
      <w:r>
        <w:t>”</w:t>
      </w:r>
      <w:r w:rsidRPr="003B3003">
        <w:t xml:space="preserve"> </w:t>
      </w:r>
    </w:p>
  </w:endnote>
  <w:endnote w:id="47">
    <w:p w14:paraId="62B5DB14" w14:textId="77777777" w:rsidR="00E13BCB" w:rsidRPr="00505C17" w:rsidRDefault="00E13BCB" w:rsidP="00E13BCB">
      <w:pPr>
        <w:pStyle w:val="EndnoteText"/>
      </w:pPr>
      <w:r>
        <w:rPr>
          <w:rStyle w:val="EndnoteReference"/>
        </w:rPr>
        <w:endnoteRef/>
      </w:r>
      <w:r>
        <w:t xml:space="preserve"> Wright, </w:t>
      </w:r>
      <w:r>
        <w:rPr>
          <w:i/>
        </w:rPr>
        <w:t xml:space="preserve">Mandates, </w:t>
      </w:r>
      <w:r>
        <w:t xml:space="preserve">238-40 this section on immigration to mandates shows that discussions in the Permanent Mandates Commission were variable as to the rights of immigrants, but that the mandate for Palestine, because of the “Jewish national home” language, had a separate discussion.  Likewise, the next section, “Relation to White Settlers” is ambiguous.  This was particularly important in South-West Africa, which had many German inhabitants.  </w:t>
      </w:r>
    </w:p>
  </w:endnote>
  <w:endnote w:id="48">
    <w:p w14:paraId="75A28194" w14:textId="77777777" w:rsidR="00E13BCB" w:rsidRPr="00411666" w:rsidRDefault="00E13BCB" w:rsidP="00E13BCB">
      <w:pPr>
        <w:pStyle w:val="EndnoteText"/>
      </w:pPr>
      <w:r>
        <w:rPr>
          <w:rStyle w:val="EndnoteReference"/>
        </w:rPr>
        <w:endnoteRef/>
      </w:r>
      <w:r>
        <w:t xml:space="preserve"> Wright, </w:t>
      </w:r>
      <w:r>
        <w:rPr>
          <w:i/>
        </w:rPr>
        <w:t xml:space="preserve">Mandates, </w:t>
      </w:r>
      <w:r>
        <w:t xml:space="preserve">522-29 is the section “Determination of Status of Mandated Peoples” which unfortunately includes, 523: “The status of the inhabitants has not been precisely determined…” . This last applies to their general legal status, that the Jews were a mandated people in Palestine is clear.  </w:t>
      </w:r>
    </w:p>
  </w:endnote>
  <w:endnote w:id="49">
    <w:p w14:paraId="7651F982" w14:textId="77777777" w:rsidR="00E13BCB" w:rsidRPr="00A444DF" w:rsidRDefault="00E13BCB" w:rsidP="00E13BCB">
      <w:pPr>
        <w:rPr>
          <w:rFonts w:ascii="Times New Roman" w:eastAsia="Times New Roman" w:hAnsi="Times New Roman" w:cs="Times New Roman"/>
          <w:sz w:val="20"/>
          <w:szCs w:val="20"/>
        </w:rPr>
      </w:pPr>
      <w:r w:rsidRPr="00FF00F1">
        <w:rPr>
          <w:rStyle w:val="EndnoteReference"/>
          <w:sz w:val="20"/>
          <w:szCs w:val="20"/>
        </w:rPr>
        <w:endnoteRef/>
      </w:r>
      <w:r w:rsidRPr="00FF00F1">
        <w:rPr>
          <w:sz w:val="20"/>
          <w:szCs w:val="20"/>
        </w:rPr>
        <w:t xml:space="preserve"> Meeting numbers for this agenda item are 161, 169, 200-228</w:t>
      </w:r>
      <w:r>
        <w:rPr>
          <w:sz w:val="20"/>
          <w:szCs w:val="20"/>
        </w:rPr>
        <w:t>.</w:t>
      </w:r>
      <w:r w:rsidRPr="00A444DF">
        <w:rPr>
          <w:rFonts w:ascii="Times New Roman" w:eastAsia="Times New Roman" w:hAnsi="Times New Roman" w:cs="Times New Roman"/>
          <w:color w:val="0000FF"/>
          <w:sz w:val="20"/>
          <w:szCs w:val="20"/>
          <w:u w:val="single"/>
        </w:rPr>
        <w:t xml:space="preserve"> </w:t>
      </w:r>
    </w:p>
  </w:endnote>
  <w:endnote w:id="50">
    <w:p w14:paraId="41DDDC0C" w14:textId="77777777" w:rsidR="00E13BCB" w:rsidRDefault="00E13BCB" w:rsidP="00E13BCB">
      <w:pPr>
        <w:pStyle w:val="EndnoteText"/>
        <w:rPr>
          <w:rStyle w:val="Hyperlink"/>
        </w:rPr>
      </w:pPr>
      <w:r>
        <w:rPr>
          <w:rStyle w:val="EndnoteReference"/>
        </w:rPr>
        <w:endnoteRef/>
      </w:r>
      <w:r>
        <w:t xml:space="preserve"> It can be found at </w:t>
      </w:r>
      <w:hyperlink r:id="rId2" w:tgtFrame="_blank" w:history="1">
        <w:r w:rsidRPr="00D50677">
          <w:rPr>
            <w:rStyle w:val="Hyperlink"/>
          </w:rPr>
          <w:t>https://digitallibrary.un.org/record/703168?ln=en</w:t>
        </w:r>
      </w:hyperlink>
      <w:r>
        <w:rPr>
          <w:rStyle w:val="Hyperlink"/>
        </w:rPr>
        <w:t xml:space="preserve">  </w:t>
      </w:r>
    </w:p>
    <w:p w14:paraId="774FA0E2" w14:textId="77777777" w:rsidR="00E13BCB" w:rsidRPr="009977DF" w:rsidRDefault="00E13BCB" w:rsidP="00E13BCB">
      <w:pPr>
        <w:pStyle w:val="EndnoteText"/>
      </w:pPr>
      <w:r>
        <w:t xml:space="preserve">Citations from this document will give a page number as well as a point number, as that is how the paper is organized.  </w:t>
      </w:r>
    </w:p>
  </w:endnote>
  <w:endnote w:id="51">
    <w:p w14:paraId="44DBE6DA" w14:textId="77777777" w:rsidR="00E13BCB" w:rsidRDefault="00E13BCB" w:rsidP="00E13BCB">
      <w:pPr>
        <w:pStyle w:val="EndnoteText"/>
      </w:pPr>
      <w:r>
        <w:rPr>
          <w:rStyle w:val="EndnoteReference"/>
        </w:rPr>
        <w:endnoteRef/>
      </w:r>
      <w:r>
        <w:t xml:space="preserve"> The plan was largely written by Ralph Bunche; no one thinks that Bernadotte did much writing, even of the books he authored.  On the political importance of Bernadotte’s mission, there is </w:t>
      </w:r>
      <w:r w:rsidRPr="00754A53">
        <w:t xml:space="preserve">Amitzur Ilan, </w:t>
      </w:r>
      <w:r w:rsidRPr="00754A53">
        <w:rPr>
          <w:i/>
        </w:rPr>
        <w:t xml:space="preserve">Bernadotte in Palestine, 1948: A Study in Contemporary Knight-Errantry, </w:t>
      </w:r>
      <w:r w:rsidRPr="00754A53">
        <w:t>(New York: St Martin’s Press, 1989)</w:t>
      </w:r>
      <w:r>
        <w:t xml:space="preserve">.  On the assassination, there is </w:t>
      </w:r>
      <w:r w:rsidRPr="00754A53">
        <w:t xml:space="preserve">Kati Marton, </w:t>
      </w:r>
      <w:r w:rsidRPr="00754A53">
        <w:rPr>
          <w:i/>
        </w:rPr>
        <w:t xml:space="preserve">A Death in Jerusalem, </w:t>
      </w:r>
      <w:r w:rsidRPr="00754A53">
        <w:t>(New York, Pantheon Books, 1994</w:t>
      </w:r>
      <w:r>
        <w:t>).</w:t>
      </w:r>
    </w:p>
  </w:endnote>
  <w:endnote w:id="52">
    <w:p w14:paraId="433410A3" w14:textId="77777777" w:rsidR="00E13BCB" w:rsidRDefault="00E13BCB" w:rsidP="00E13BCB">
      <w:pPr>
        <w:pStyle w:val="EndnoteText"/>
      </w:pPr>
      <w:r>
        <w:rPr>
          <w:rStyle w:val="EndnoteReference"/>
        </w:rPr>
        <w:endnoteRef/>
      </w:r>
      <w:r>
        <w:t xml:space="preserve"> An interesting contemporaneous analysis of the Arab League’s dynamics and motivations is </w:t>
      </w:r>
      <w:r w:rsidRPr="00ED3A0E">
        <w:t>“The Arab League:</w:t>
      </w:r>
      <w:r>
        <w:rPr>
          <w:b/>
          <w:i/>
        </w:rPr>
        <w:t xml:space="preserve"> </w:t>
      </w:r>
      <w:r w:rsidRPr="00ED3A0E">
        <w:t>Development and Difficulties”,</w:t>
      </w:r>
      <w:r>
        <w:rPr>
          <w:b/>
          <w:i/>
        </w:rPr>
        <w:t xml:space="preserve"> </w:t>
      </w:r>
      <w:r w:rsidRPr="00ED3A0E">
        <w:t>World Today; May 1, 1951; 7, 5; ProQuest pg. 187</w:t>
      </w:r>
      <w:r>
        <w:t>-196.</w:t>
      </w:r>
    </w:p>
  </w:endnote>
  <w:endnote w:id="53">
    <w:p w14:paraId="3F6F1615" w14:textId="77777777" w:rsidR="00E13BCB" w:rsidRDefault="00E13BCB" w:rsidP="00E13BCB">
      <w:pPr>
        <w:pStyle w:val="EndnoteText"/>
      </w:pPr>
      <w:r>
        <w:rPr>
          <w:rStyle w:val="EndnoteReference"/>
        </w:rPr>
        <w:endnoteRef/>
      </w:r>
      <w:r>
        <w:t xml:space="preserve"> It is tempting to see the anti-Hashemite alliance at work in the fact that most other Arab states were already UN members and Jordan wasn’t, but this isn’t the case.  In fact, the holdup was a Cold War problem, and the USSR blocked the entrance of a group of 10 nations in return for the admittance of some of its satellites.  The whole cohort was admitted as part of a deal in 1955.  The UN yearbooks of these years have long sections on this sorry tale. </w:t>
      </w:r>
    </w:p>
  </w:endnote>
  <w:endnote w:id="54">
    <w:p w14:paraId="23AEE771" w14:textId="77777777" w:rsidR="00E13BCB" w:rsidRDefault="00E13BCB" w:rsidP="00E13BCB">
      <w:pPr>
        <w:pStyle w:val="EndnoteText"/>
      </w:pPr>
      <w:r>
        <w:rPr>
          <w:rStyle w:val="EndnoteReference"/>
        </w:rPr>
        <w:endnoteRef/>
      </w:r>
      <w:r>
        <w:t xml:space="preserve"> Israel was the only state admitted in 1949, and one of the few admitted during the admission deadlock, having the backing of both the US and USSR.  The story, with all the twists and turns, is told in the 1948-9 UN Yearbook, p 395-405.</w:t>
      </w:r>
    </w:p>
  </w:endnote>
  <w:endnote w:id="55">
    <w:p w14:paraId="07F19C4B" w14:textId="77777777" w:rsidR="00E13BCB" w:rsidRDefault="00E13BCB" w:rsidP="00E13BCB">
      <w:pPr>
        <w:pStyle w:val="EndnoteText"/>
      </w:pPr>
      <w:r>
        <w:rPr>
          <w:rStyle w:val="EndnoteReference"/>
        </w:rPr>
        <w:endnoteRef/>
      </w:r>
      <w:r>
        <w:t xml:space="preserve"> 1C SR 160, 161 for the votes that seat them.</w:t>
      </w:r>
    </w:p>
  </w:endnote>
  <w:endnote w:id="56">
    <w:p w14:paraId="5B058C3C" w14:textId="77777777" w:rsidR="00E13BCB" w:rsidRDefault="00E13BCB" w:rsidP="00E13BCB">
      <w:pPr>
        <w:pStyle w:val="EndnoteText"/>
      </w:pPr>
      <w:r>
        <w:rPr>
          <w:rStyle w:val="EndnoteReference"/>
        </w:rPr>
        <w:endnoteRef/>
      </w:r>
      <w:r>
        <w:t xml:space="preserve"> The story of the APG is briefly told in  </w:t>
      </w:r>
      <w:r w:rsidRPr="009F06F8">
        <w:t xml:space="preserve">L. Larry Leonard, </w:t>
      </w:r>
      <w:r>
        <w:t>“</w:t>
      </w:r>
      <w:r w:rsidRPr="009F06F8">
        <w:t>The United Nations and Palestine,</w:t>
      </w:r>
      <w:r>
        <w:t>”</w:t>
      </w:r>
      <w:r w:rsidRPr="009F06F8">
        <w:t xml:space="preserve"> 27 </w:t>
      </w:r>
      <w:r w:rsidRPr="009F06F8">
        <w:rPr>
          <w:i/>
        </w:rPr>
        <w:t>Int'l Conciliation</w:t>
      </w:r>
      <w:r w:rsidRPr="009F06F8">
        <w:t xml:space="preserve"> 607 (1949)</w:t>
      </w:r>
      <w:r>
        <w:t>,727, and</w:t>
      </w:r>
      <w:r>
        <w:rPr>
          <w:i/>
        </w:rPr>
        <w:t xml:space="preserve"> </w:t>
      </w:r>
      <w:r w:rsidRPr="003F2494">
        <w:t xml:space="preserve"> Benny</w:t>
      </w:r>
      <w:r>
        <w:t xml:space="preserve"> </w:t>
      </w:r>
      <w:r w:rsidRPr="003F2494">
        <w:t xml:space="preserve">Morris, </w:t>
      </w:r>
      <w:r w:rsidRPr="003F2494">
        <w:rPr>
          <w:i/>
        </w:rPr>
        <w:t xml:space="preserve">1948: A History of the First Arab-Israeli War, </w:t>
      </w:r>
      <w:r w:rsidRPr="003F2494">
        <w:t>(New Haven: Yale University Press, 2008)</w:t>
      </w:r>
      <w:r>
        <w:t xml:space="preserve">, 195-6.  </w:t>
      </w:r>
      <w:r w:rsidRPr="00A44EE5">
        <w:t xml:space="preserve">Joseph Nevo, </w:t>
      </w:r>
      <w:r w:rsidRPr="00A44EE5">
        <w:rPr>
          <w:i/>
        </w:rPr>
        <w:t>King Abdallah and the Palestinians: A Territorial Ambition,</w:t>
      </w:r>
      <w:r>
        <w:rPr>
          <w:i/>
        </w:rPr>
        <w:t xml:space="preserve"> </w:t>
      </w:r>
      <w:r>
        <w:t>(</w:t>
      </w:r>
      <w:r w:rsidRPr="00A44EE5">
        <w:t>NY, NY: St Martin’s Press, 1996</w:t>
      </w:r>
      <w:r>
        <w:t xml:space="preserve">), 158, has this assessment: </w:t>
      </w:r>
      <w:r w:rsidRPr="00A44EE5">
        <w:t>“Thus, it was the apprehension of Abdallah and not the support of the Palestinian cause or recognition of their right to self-determination that brought the Arab League to back the AHC and bestow upon al-Hajj Amin a few moments of political glory.”</w:t>
      </w:r>
    </w:p>
  </w:endnote>
  <w:endnote w:id="57">
    <w:p w14:paraId="7EE1D354" w14:textId="77777777" w:rsidR="00E13BCB" w:rsidRDefault="00E13BCB" w:rsidP="00E13BCB">
      <w:pPr>
        <w:pStyle w:val="EndnoteText"/>
      </w:pPr>
      <w:r>
        <w:rPr>
          <w:rStyle w:val="EndnoteReference"/>
        </w:rPr>
        <w:endnoteRef/>
      </w:r>
      <w:r>
        <w:t xml:space="preserve"> Discussions are 1C SR 237-243 and 635-639.  It is on that last page that a vote is taken to seat them.  Leonard, “The UN”, 617-21 covers the earlier discussions of Palestinian representation, in the fall of 1947.  However, neither time is there a discussion of want it might mean for other states to represent their cause.  618 makes it clear that the Arab states are claiming to speak only for themselves, but given their strong advocacy and the AHC’s relative silence, this is unclear.  Perhaps the closest parallel would be Pan-Germanism in the LN.  There, the German state spoke as the protector and representative of German ethnic communities throughout the world, and there was sanction for this under the minority rights system.  However, it is clear that this form of representation cannot be, as the UN repudiated minority rights and the standings of nations opposed to states.  The LN proved that unworkable and it was a cause of WWII.  St Korowicz,  an Eastern European whose state felt the brunt of Pan-Germanism discusses this as well as the problem of the Arab nation divided into many states in </w:t>
      </w:r>
      <w:r>
        <w:rPr>
          <w:i/>
        </w:rPr>
        <w:t xml:space="preserve">Introduction, </w:t>
      </w:r>
      <w:r>
        <w:t>287-323.</w:t>
      </w:r>
    </w:p>
  </w:endnote>
  <w:endnote w:id="58">
    <w:p w14:paraId="38752F2F" w14:textId="77777777" w:rsidR="00E13BCB" w:rsidRDefault="00E13BCB" w:rsidP="00E13BCB">
      <w:pPr>
        <w:pStyle w:val="EndnoteText"/>
      </w:pPr>
      <w:r>
        <w:rPr>
          <w:rStyle w:val="EndnoteReference"/>
        </w:rPr>
        <w:endnoteRef/>
      </w:r>
      <w:r>
        <w:t xml:space="preserve"> 1C SR 162-65, he delivers another summary, with many of the same points, 768-771.  His list of tasks for 1C is on 164. The original text is Mediator’s Report, VIII, Conclusions, 17-19.  A brief, contemporaneous summary, with a useful map is, Leonard, “The UN”, 673-77.</w:t>
      </w:r>
    </w:p>
  </w:endnote>
  <w:endnote w:id="59">
    <w:p w14:paraId="029FE6AF" w14:textId="77777777" w:rsidR="00E13BCB" w:rsidRDefault="00E13BCB" w:rsidP="00E13BCB">
      <w:pPr>
        <w:pStyle w:val="EndnoteText"/>
      </w:pPr>
      <w:r>
        <w:rPr>
          <w:rStyle w:val="EndnoteReference"/>
        </w:rPr>
        <w:endnoteRef/>
      </w:r>
      <w:r>
        <w:t xml:space="preserve"> 1C SR 164.  </w:t>
      </w:r>
    </w:p>
  </w:endnote>
  <w:endnote w:id="60">
    <w:p w14:paraId="4B617B6D" w14:textId="77777777" w:rsidR="00E13BCB" w:rsidRDefault="00E13BCB" w:rsidP="00E13BCB">
      <w:pPr>
        <w:pStyle w:val="EndnoteText"/>
      </w:pPr>
      <w:r>
        <w:rPr>
          <w:rStyle w:val="EndnoteReference"/>
        </w:rPr>
        <w:endnoteRef/>
      </w:r>
      <w:r>
        <w:t xml:space="preserve"> Resolution 186 (S-2) of 14 May 1948.</w:t>
      </w:r>
    </w:p>
  </w:endnote>
  <w:endnote w:id="61">
    <w:p w14:paraId="75C8D2BF" w14:textId="77777777" w:rsidR="00E13BCB" w:rsidRDefault="00E13BCB" w:rsidP="00E13BCB">
      <w:pPr>
        <w:pStyle w:val="EndnoteText"/>
      </w:pPr>
      <w:r>
        <w:rPr>
          <w:rStyle w:val="EndnoteReference"/>
        </w:rPr>
        <w:endnoteRef/>
      </w:r>
      <w:r>
        <w:t xml:space="preserve"> </w:t>
      </w:r>
      <w:r w:rsidRPr="000F42EE">
        <w:t xml:space="preserve">Eban, </w:t>
      </w:r>
      <w:r w:rsidRPr="000F42EE">
        <w:rPr>
          <w:i/>
        </w:rPr>
        <w:t>Personal Witness</w:t>
      </w:r>
      <w:r>
        <w:rPr>
          <w:i/>
        </w:rPr>
        <w:t xml:space="preserve">, </w:t>
      </w:r>
      <w:r>
        <w:t>178 tells that it was primarily an odd alliance of pro-Israel and pro-Arab states that kept it from coming to a vote.  Urquhart,</w:t>
      </w:r>
      <w:r>
        <w:rPr>
          <w:i/>
        </w:rPr>
        <w:t xml:space="preserve"> Bunche, </w:t>
      </w:r>
      <w:r>
        <w:t xml:space="preserve">186, agrees. </w:t>
      </w:r>
    </w:p>
  </w:endnote>
  <w:endnote w:id="62">
    <w:p w14:paraId="3449EB8A" w14:textId="77777777" w:rsidR="00E13BCB" w:rsidRPr="00FF00F1" w:rsidRDefault="00E13BCB" w:rsidP="00E13BCB">
      <w:pPr>
        <w:pStyle w:val="EndnoteText"/>
        <w:rPr>
          <w:i/>
        </w:rPr>
      </w:pPr>
      <w:r>
        <w:rPr>
          <w:rStyle w:val="EndnoteReference"/>
        </w:rPr>
        <w:endnoteRef/>
      </w:r>
      <w:r>
        <w:t xml:space="preserve"> Bunche specifically refutes the report in the </w:t>
      </w:r>
      <w:r>
        <w:rPr>
          <w:i/>
        </w:rPr>
        <w:t xml:space="preserve">Nation </w:t>
      </w:r>
      <w:r>
        <w:t xml:space="preserve">magazine that the US and UK had created this set of recommendations with Bernadotte on 768, but Ilan, </w:t>
      </w:r>
      <w:r>
        <w:rPr>
          <w:i/>
        </w:rPr>
        <w:t xml:space="preserve">Bernadotte, </w:t>
      </w:r>
      <w:r>
        <w:t xml:space="preserve">189 would more agree with the </w:t>
      </w:r>
      <w:r>
        <w:rPr>
          <w:i/>
        </w:rPr>
        <w:t xml:space="preserve">Nation.  </w:t>
      </w:r>
    </w:p>
  </w:endnote>
  <w:endnote w:id="63">
    <w:p w14:paraId="12DDD43E" w14:textId="77777777" w:rsidR="00E13BCB" w:rsidRDefault="00E13BCB" w:rsidP="00E13BCB">
      <w:pPr>
        <w:pStyle w:val="EndnoteText"/>
      </w:pPr>
      <w:r>
        <w:rPr>
          <w:rStyle w:val="EndnoteReference"/>
        </w:rPr>
        <w:endnoteRef/>
      </w:r>
      <w:r>
        <w:t xml:space="preserve"> 1C SR 672-75 and also 759-63.</w:t>
      </w:r>
    </w:p>
  </w:endnote>
  <w:endnote w:id="64">
    <w:p w14:paraId="63241075" w14:textId="77777777" w:rsidR="00E13BCB" w:rsidRPr="00ED3A0E" w:rsidRDefault="00E13BCB" w:rsidP="00E13BCB">
      <w:pPr>
        <w:pStyle w:val="EndnoteText"/>
      </w:pPr>
      <w:r>
        <w:rPr>
          <w:rStyle w:val="EndnoteReference"/>
        </w:rPr>
        <w:endnoteRef/>
      </w:r>
      <w:r>
        <w:t xml:space="preserve"> The UK had another reason not to take a strong public stand on this: in 1946, it had been badly burned in the UN by supporting the bid by the Union of South Africa to take full sovereignty over its mandate in South West Africa.  It was India who took the lead on refusing this measure just at the point when the UK was trying to keep it in the newly forming Commonwealth.  Palestine could easily be seen as another case where the UK was rewarding one of its allies with the ownership of a mandate.  Mazower, </w:t>
      </w:r>
      <w:r>
        <w:rPr>
          <w:i/>
        </w:rPr>
        <w:t xml:space="preserve">No Enchanted, </w:t>
      </w:r>
      <w:r>
        <w:t xml:space="preserve">Chapter 4, 149-89 tells this story and how it affected the UK.  It is clear through the 1C meetings that the UK is everyone’s favorite punching-bag, and they are blamed for all possible problems.  “The Arab League” </w:t>
      </w:r>
      <w:r>
        <w:rPr>
          <w:i/>
        </w:rPr>
        <w:t xml:space="preserve">World Today, </w:t>
      </w:r>
      <w:r>
        <w:t xml:space="preserve">189, on the contradictory nature of the Arab League’s relations with the UK. </w:t>
      </w:r>
    </w:p>
  </w:endnote>
  <w:endnote w:id="65">
    <w:p w14:paraId="799852B5" w14:textId="77777777" w:rsidR="00E13BCB" w:rsidRDefault="00E13BCB" w:rsidP="00E13BCB">
      <w:pPr>
        <w:pStyle w:val="EndnoteText"/>
      </w:pPr>
      <w:r>
        <w:rPr>
          <w:rStyle w:val="EndnoteReference"/>
        </w:rPr>
        <w:endnoteRef/>
      </w:r>
      <w:r>
        <w:t xml:space="preserve"> 1C SR 680-83, a second summary, 724-28, has greater specificity of the same principals and is clearer that 181 must be recognized as the guiding principal.</w:t>
      </w:r>
    </w:p>
  </w:endnote>
  <w:endnote w:id="66">
    <w:p w14:paraId="63A9F3C5" w14:textId="77777777" w:rsidR="00E13BCB" w:rsidRDefault="00E13BCB" w:rsidP="00E13BCB">
      <w:pPr>
        <w:pStyle w:val="EndnoteText"/>
      </w:pPr>
      <w:r>
        <w:rPr>
          <w:rStyle w:val="EndnoteReference"/>
        </w:rPr>
        <w:endnoteRef/>
      </w:r>
      <w:r>
        <w:t xml:space="preserve"> 1C SR 694-97.  The Czechoslovaks make some of the same points 777-78, Poland: 772-774; the Ukraine:  730-33, Yugoslavia: 722-23; Byelorussia: 741-43.</w:t>
      </w:r>
    </w:p>
  </w:endnote>
  <w:endnote w:id="67">
    <w:p w14:paraId="09F9BCE3" w14:textId="77777777" w:rsidR="00E13BCB" w:rsidRDefault="00E13BCB" w:rsidP="00E13BCB">
      <w:pPr>
        <w:pStyle w:val="EndnoteText"/>
      </w:pPr>
      <w:r>
        <w:rPr>
          <w:rStyle w:val="EndnoteReference"/>
        </w:rPr>
        <w:endnoteRef/>
      </w:r>
      <w:r>
        <w:t xml:space="preserve">These points and more are made by Egypt: 663, 755-57, 810; Syria: 664-70, 678-80, 746-51782, 806; Saudi Arabia: 676-78; Lebanon: 757-59; Yemen: 687-89; Iraq: 765. </w:t>
      </w:r>
    </w:p>
  </w:endnote>
  <w:endnote w:id="68">
    <w:p w14:paraId="4CD00EA8" w14:textId="77777777" w:rsidR="00E13BCB" w:rsidRDefault="00E13BCB" w:rsidP="00E13BCB">
      <w:pPr>
        <w:pStyle w:val="EndnoteText"/>
      </w:pPr>
      <w:r>
        <w:rPr>
          <w:rStyle w:val="EndnoteReference"/>
        </w:rPr>
        <w:endnoteRef/>
      </w:r>
      <w:r>
        <w:t xml:space="preserve"> 1C SR 764, their presentation is 763-65.</w:t>
      </w:r>
    </w:p>
  </w:endnote>
  <w:endnote w:id="69">
    <w:p w14:paraId="64CF13BA" w14:textId="77777777" w:rsidR="00E13BCB" w:rsidRDefault="00E13BCB" w:rsidP="00E13BCB">
      <w:pPr>
        <w:pStyle w:val="EndnoteText"/>
      </w:pPr>
      <w:r>
        <w:rPr>
          <w:rStyle w:val="EndnoteReference"/>
        </w:rPr>
        <w:endnoteRef/>
      </w:r>
      <w:r>
        <w:t xml:space="preserve"> 1C SR 647-53,697-704, 765-68.</w:t>
      </w:r>
    </w:p>
  </w:endnote>
  <w:endnote w:id="70">
    <w:p w14:paraId="7734B875" w14:textId="77777777" w:rsidR="00E13BCB" w:rsidRDefault="00E13BCB" w:rsidP="00E13BCB">
      <w:pPr>
        <w:pStyle w:val="EndnoteText"/>
      </w:pPr>
      <w:r>
        <w:rPr>
          <w:rStyle w:val="EndnoteReference"/>
        </w:rPr>
        <w:endnoteRef/>
      </w:r>
      <w:r>
        <w:t xml:space="preserve"> S</w:t>
      </w:r>
      <w:r w:rsidRPr="00B75D4C">
        <w:t>yr</w:t>
      </w:r>
      <w:r>
        <w:t>ia:</w:t>
      </w:r>
      <w:r w:rsidRPr="00B75D4C">
        <w:t xml:space="preserve"> 749</w:t>
      </w:r>
      <w:r>
        <w:t>;</w:t>
      </w:r>
      <w:r w:rsidRPr="00B75D4C">
        <w:t xml:space="preserve"> </w:t>
      </w:r>
      <w:r>
        <w:t>Y</w:t>
      </w:r>
      <w:r w:rsidRPr="00B75D4C">
        <w:t>emen</w:t>
      </w:r>
      <w:r>
        <w:t>:</w:t>
      </w:r>
      <w:r w:rsidRPr="00B75D4C">
        <w:t xml:space="preserve"> 813</w:t>
      </w:r>
      <w:r>
        <w:t>;</w:t>
      </w:r>
      <w:r w:rsidRPr="00B75D4C">
        <w:t xml:space="preserve"> Pak</w:t>
      </w:r>
      <w:r>
        <w:t>istan:</w:t>
      </w:r>
      <w:r w:rsidRPr="00B75D4C">
        <w:t xml:space="preserve"> 618</w:t>
      </w:r>
      <w:r>
        <w:t xml:space="preserve">.  Uncharacteristically, Bernadotte comments on this idea: Mediators Report, 5 pt. 12 has </w:t>
      </w:r>
      <w:r w:rsidRPr="00134717">
        <w:t>“At this late stage in the problem and in view of all the circumstances, the cantonal and federal schemes have no practical merit which would make them worthy of consideration.”</w:t>
      </w:r>
    </w:p>
  </w:endnote>
  <w:endnote w:id="71">
    <w:p w14:paraId="3C95644E" w14:textId="77777777" w:rsidR="00E13BCB" w:rsidRPr="001F41C6" w:rsidRDefault="00E13BCB" w:rsidP="00E13BCB">
      <w:pPr>
        <w:pStyle w:val="EndnoteText"/>
        <w:rPr>
          <w:iCs/>
        </w:rPr>
      </w:pPr>
      <w:r>
        <w:rPr>
          <w:rStyle w:val="EndnoteReference"/>
        </w:rPr>
        <w:endnoteRef/>
      </w:r>
      <w:r>
        <w:t xml:space="preserve"> </w:t>
      </w:r>
      <w:r w:rsidRPr="00B75D4C">
        <w:rPr>
          <w:iCs/>
        </w:rPr>
        <w:t>AHC</w:t>
      </w:r>
      <w:r>
        <w:rPr>
          <w:iCs/>
        </w:rPr>
        <w:t>:</w:t>
      </w:r>
      <w:r w:rsidRPr="00B75D4C">
        <w:rPr>
          <w:iCs/>
        </w:rPr>
        <w:t xml:space="preserve"> 704</w:t>
      </w:r>
      <w:r>
        <w:rPr>
          <w:iCs/>
        </w:rPr>
        <w:t>;</w:t>
      </w:r>
      <w:r w:rsidRPr="00B75D4C">
        <w:rPr>
          <w:iCs/>
        </w:rPr>
        <w:t xml:space="preserve"> Egy</w:t>
      </w:r>
      <w:r>
        <w:rPr>
          <w:iCs/>
        </w:rPr>
        <w:t>pt:</w:t>
      </w:r>
      <w:r w:rsidRPr="00B75D4C">
        <w:rPr>
          <w:iCs/>
        </w:rPr>
        <w:t xml:space="preserve"> 792</w:t>
      </w:r>
      <w:r>
        <w:rPr>
          <w:iCs/>
        </w:rPr>
        <w:t>,</w:t>
      </w:r>
      <w:r w:rsidRPr="00B75D4C">
        <w:rPr>
          <w:iCs/>
        </w:rPr>
        <w:t xml:space="preserve"> 924</w:t>
      </w:r>
      <w:r>
        <w:rPr>
          <w:iCs/>
        </w:rPr>
        <w:t>;</w:t>
      </w:r>
      <w:r w:rsidRPr="00B75D4C">
        <w:rPr>
          <w:iCs/>
        </w:rPr>
        <w:t xml:space="preserve"> Syr</w:t>
      </w:r>
      <w:r>
        <w:rPr>
          <w:iCs/>
        </w:rPr>
        <w:t>ia:</w:t>
      </w:r>
      <w:r w:rsidRPr="00B75D4C">
        <w:rPr>
          <w:iCs/>
        </w:rPr>
        <w:t xml:space="preserve"> 793</w:t>
      </w:r>
      <w:r>
        <w:rPr>
          <w:iCs/>
        </w:rPr>
        <w:t>.</w:t>
      </w:r>
    </w:p>
  </w:endnote>
  <w:endnote w:id="72">
    <w:p w14:paraId="4A35CB4B" w14:textId="77777777" w:rsidR="00E13BCB" w:rsidRDefault="00E13BCB" w:rsidP="00E13BCB">
      <w:pPr>
        <w:pStyle w:val="EndnoteText"/>
      </w:pPr>
      <w:r>
        <w:rPr>
          <w:rStyle w:val="EndnoteReference"/>
        </w:rPr>
        <w:endnoteRef/>
      </w:r>
      <w:r>
        <w:t xml:space="preserve"> I need a list here. </w:t>
      </w:r>
    </w:p>
  </w:endnote>
  <w:endnote w:id="73">
    <w:p w14:paraId="0CC4D69D" w14:textId="77777777" w:rsidR="00E13BCB" w:rsidRDefault="00E13BCB" w:rsidP="00E13BCB">
      <w:pPr>
        <w:pStyle w:val="EndnoteText"/>
      </w:pPr>
      <w:r>
        <w:rPr>
          <w:rStyle w:val="EndnoteReference"/>
        </w:rPr>
        <w:endnoteRef/>
      </w:r>
      <w:r>
        <w:t xml:space="preserve"> Israel’s main presentations are 640-47, 711-19,  827-29, 832-33.   Abba Eban, the Israeli delegate to the UN, 715, “At the moment Western Galilee, unlike the Negeb, was not part of any existing State and hence could be disposed of by the Assembly.” And 832 “The territories occupied by the forces of Israel as a result of its struggle to defend its territory were a fit matter for negotiations in which the views and claim of the State of Israel should receive due consideration.”</w:t>
      </w:r>
    </w:p>
    <w:p w14:paraId="7669FAC1" w14:textId="77777777" w:rsidR="00E13BCB" w:rsidRDefault="00E13BCB" w:rsidP="00E13BCB">
      <w:pPr>
        <w:pStyle w:val="EndnoteText"/>
      </w:pPr>
      <w:r>
        <w:t>Rubinstein, “The Changing Status” 61 makes it clear that in 1949 those areas were acknowledged to be legally different: “</w:t>
      </w:r>
      <w:r w:rsidRPr="007A0C27">
        <w:t>It</w:t>
      </w:r>
      <w:r>
        <w:t xml:space="preserve"> [the Israeli Government]</w:t>
      </w:r>
      <w:r w:rsidRPr="007A0C27">
        <w:t xml:space="preserve"> avoided getting involved in the</w:t>
      </w:r>
      <w:r>
        <w:t xml:space="preserve"> </w:t>
      </w:r>
      <w:r w:rsidRPr="007A0C27">
        <w:t>controversial and complex subject of sovereignty by using the term</w:t>
      </w:r>
      <w:r>
        <w:t xml:space="preserve"> </w:t>
      </w:r>
      <w:r w:rsidRPr="007A0C27">
        <w:t>"administered" areas, employed in 1949 in the Jurisdiction and Authority</w:t>
      </w:r>
      <w:r>
        <w:t xml:space="preserve"> </w:t>
      </w:r>
      <w:r w:rsidRPr="007A0C27">
        <w:t>Ordinance, but with a</w:t>
      </w:r>
      <w:r>
        <w:t xml:space="preserve"> </w:t>
      </w:r>
      <w:r w:rsidRPr="007A0C27">
        <w:t>fundamental difference in meaning. In 1949, the term</w:t>
      </w:r>
      <w:r>
        <w:t xml:space="preserve"> </w:t>
      </w:r>
      <w:r w:rsidRPr="007A0C27">
        <w:t>denoted areas outside the boundaries of the United Nations partition plan to</w:t>
      </w:r>
      <w:r>
        <w:t xml:space="preserve"> </w:t>
      </w:r>
      <w:r w:rsidRPr="007A0C27">
        <w:t>which Israeli law was extended; in 1967</w:t>
      </w:r>
      <w:r>
        <w:t>…”</w:t>
      </w:r>
    </w:p>
  </w:endnote>
  <w:endnote w:id="74">
    <w:p w14:paraId="5AC5C761" w14:textId="77777777" w:rsidR="00E13BCB" w:rsidRDefault="00E13BCB" w:rsidP="00E13BCB">
      <w:pPr>
        <w:pStyle w:val="EndnoteText"/>
      </w:pPr>
      <w:r>
        <w:rPr>
          <w:rStyle w:val="EndnoteReference"/>
        </w:rPr>
        <w:endnoteRef/>
      </w:r>
      <w:r>
        <w:t xml:space="preserve"> Can I say here that the declaration of the state moved Israel from an object to a subject of IL?</w:t>
      </w:r>
    </w:p>
  </w:endnote>
  <w:endnote w:id="75">
    <w:p w14:paraId="707ECB72" w14:textId="77777777" w:rsidR="00E13BCB" w:rsidRDefault="00E13BCB" w:rsidP="00E13BCB">
      <w:pPr>
        <w:pStyle w:val="EndnoteText"/>
      </w:pPr>
      <w:r>
        <w:rPr>
          <w:rStyle w:val="EndnoteReference"/>
        </w:rPr>
        <w:endnoteRef/>
      </w:r>
      <w:r>
        <w:t xml:space="preserve"> 1C SR 644.  Also 613: “The juridical situation had greatly changed since </w:t>
      </w:r>
      <w:r w:rsidRPr="00D73224">
        <w:t>November 1947 when Palestine was a mandated</w:t>
      </w:r>
      <w:r>
        <w:t xml:space="preserve"> </w:t>
      </w:r>
      <w:r w:rsidRPr="00D73224">
        <w:t>territory and, therefore, subject to the authority</w:t>
      </w:r>
      <w:r>
        <w:t xml:space="preserve"> </w:t>
      </w:r>
      <w:r w:rsidRPr="00D73224">
        <w:t>of the General Assembly. The independent</w:t>
      </w:r>
      <w:r>
        <w:t xml:space="preserve"> </w:t>
      </w:r>
      <w:r w:rsidRPr="00D73224">
        <w:t>State of Israel had come into existence and no</w:t>
      </w:r>
      <w:r>
        <w:t xml:space="preserve"> </w:t>
      </w:r>
      <w:r w:rsidRPr="00D73224">
        <w:t>outside body had a right to dispose of its territory</w:t>
      </w:r>
      <w:r>
        <w:t xml:space="preserve"> </w:t>
      </w:r>
      <w:r w:rsidRPr="00D73224">
        <w:t>or interfere in its domestic affairs. The</w:t>
      </w:r>
      <w:r>
        <w:t xml:space="preserve"> </w:t>
      </w:r>
      <w:r w:rsidRPr="00D73224">
        <w:t>Charter itself forbade such interference. It</w:t>
      </w:r>
      <w:r>
        <w:t xml:space="preserve"> </w:t>
      </w:r>
      <w:r w:rsidRPr="00D73224">
        <w:t>was the very fact of Israel's sovereignty which</w:t>
      </w:r>
      <w:r>
        <w:t xml:space="preserve"> </w:t>
      </w:r>
      <w:r w:rsidRPr="00D73224">
        <w:t>made so important the principle enunciated by</w:t>
      </w:r>
      <w:r>
        <w:t xml:space="preserve"> </w:t>
      </w:r>
      <w:r w:rsidRPr="00D73224">
        <w:t>the United States that Israel's boundaries could be</w:t>
      </w:r>
      <w:r>
        <w:t xml:space="preserve"> </w:t>
      </w:r>
      <w:r w:rsidRPr="00D73224">
        <w:t>modified only with its consent. Many speakers,</w:t>
      </w:r>
      <w:r>
        <w:t xml:space="preserve"> </w:t>
      </w:r>
      <w:r w:rsidRPr="00D73224">
        <w:t>including the Acting Mediator, had recognized</w:t>
      </w:r>
      <w:r>
        <w:t xml:space="preserve"> </w:t>
      </w:r>
      <w:r w:rsidRPr="00D73224">
        <w:t>the existence of the State of Israel. If they</w:t>
      </w:r>
      <w:r>
        <w:t xml:space="preserve"> </w:t>
      </w:r>
      <w:r w:rsidRPr="00D73224">
        <w:t>affirmed its existence, they must accept the consequences</w:t>
      </w:r>
      <w:r>
        <w:t xml:space="preserve"> </w:t>
      </w:r>
      <w:r w:rsidRPr="00D73224">
        <w:t>of their affirmation.</w:t>
      </w:r>
      <w:r>
        <w:t xml:space="preserve">” </w:t>
      </w:r>
    </w:p>
  </w:endnote>
  <w:endnote w:id="76">
    <w:p w14:paraId="4B4FD43E" w14:textId="77777777" w:rsidR="00E13BCB" w:rsidRDefault="00E13BCB" w:rsidP="00E13BCB">
      <w:pPr>
        <w:pStyle w:val="EndnoteText"/>
      </w:pPr>
      <w:r>
        <w:rPr>
          <w:rStyle w:val="EndnoteReference"/>
        </w:rPr>
        <w:endnoteRef/>
      </w:r>
      <w:r>
        <w:t xml:space="preserve"> 1C SR 711-12, the paragraph beginning: “There was a contradiction in logic in Mr. Jessup’s…”</w:t>
      </w:r>
    </w:p>
  </w:endnote>
  <w:endnote w:id="77">
    <w:p w14:paraId="508E23DE" w14:textId="77777777" w:rsidR="00E13BCB" w:rsidRDefault="00E13BCB" w:rsidP="00E13BCB">
      <w:pPr>
        <w:pStyle w:val="EndnoteText"/>
      </w:pPr>
      <w:r>
        <w:rPr>
          <w:rStyle w:val="EndnoteReference"/>
        </w:rPr>
        <w:endnoteRef/>
      </w:r>
      <w:r>
        <w:t xml:space="preserve"> A partial list of the states that speak on the issue: Columbia, 724: “</w:t>
      </w:r>
      <w:r w:rsidRPr="001A779E">
        <w:t>The</w:t>
      </w:r>
      <w:r>
        <w:t xml:space="preserve"> </w:t>
      </w:r>
      <w:r w:rsidRPr="001A779E">
        <w:t>General Assembly could not therefore alter the</w:t>
      </w:r>
      <w:r>
        <w:t xml:space="preserve"> </w:t>
      </w:r>
      <w:r w:rsidRPr="001A779E">
        <w:t>frontiers of a de facto State any more than it</w:t>
      </w:r>
      <w:r>
        <w:t xml:space="preserve"> </w:t>
      </w:r>
      <w:r w:rsidRPr="001A779E">
        <w:t>could reject its own decisions. For that reason the</w:t>
      </w:r>
      <w:r>
        <w:t xml:space="preserve"> </w:t>
      </w:r>
      <w:r w:rsidRPr="001A779E">
        <w:t>Colombian delegation supported the view of several</w:t>
      </w:r>
      <w:r>
        <w:t xml:space="preserve"> s</w:t>
      </w:r>
      <w:r w:rsidRPr="001A779E">
        <w:t>peakers that the problem should be dealt with</w:t>
      </w:r>
      <w:r>
        <w:t xml:space="preserve"> </w:t>
      </w:r>
      <w:r w:rsidRPr="001A779E">
        <w:t>on the basis of the resolution of 29 November 1947.</w:t>
      </w:r>
      <w:r>
        <w:t>”; Denmark makes a very technical argument 744-45, which calls into question the basis of the State of Israel: “</w:t>
      </w:r>
      <w:r w:rsidRPr="001A779E">
        <w:t>It was</w:t>
      </w:r>
      <w:r>
        <w:t xml:space="preserve"> </w:t>
      </w:r>
      <w:r w:rsidRPr="001A779E">
        <w:t>obvious that the creation of the Jewish State</w:t>
      </w:r>
      <w:r>
        <w:t xml:space="preserve"> </w:t>
      </w:r>
      <w:r w:rsidRPr="001A779E">
        <w:t>had no legal connexion with the putting into</w:t>
      </w:r>
      <w:r>
        <w:t xml:space="preserve"> </w:t>
      </w:r>
      <w:r w:rsidRPr="001A779E">
        <w:t>effect of the resolution of 29 November 1947.</w:t>
      </w:r>
      <w:r>
        <w:t>”; Guatemala, 752, concludes its history of sovereignty with: “</w:t>
      </w:r>
      <w:r w:rsidRPr="001A779E">
        <w:t>Therefore, although in 1947 the United Nations</w:t>
      </w:r>
      <w:r>
        <w:t xml:space="preserve"> </w:t>
      </w:r>
      <w:r w:rsidRPr="001A779E">
        <w:t>could validly adopt a resolution concerning a</w:t>
      </w:r>
      <w:r>
        <w:t xml:space="preserve"> </w:t>
      </w:r>
      <w:r w:rsidRPr="001A779E">
        <w:t>non - independent State, it could not do so now</w:t>
      </w:r>
      <w:r>
        <w:t xml:space="preserve"> </w:t>
      </w:r>
      <w:r w:rsidRPr="001A779E">
        <w:t>because that would constitute an intervention in</w:t>
      </w:r>
      <w:r>
        <w:t xml:space="preserve"> </w:t>
      </w:r>
      <w:r w:rsidRPr="001A779E">
        <w:t>the internal affairs of an independent State.</w:t>
      </w:r>
      <w:r>
        <w:t>”; Czechoslovakia, 778, concludes a long passage: “</w:t>
      </w:r>
      <w:r w:rsidRPr="00875FD4">
        <w:t>Today however the situation was entirely di</w:t>
      </w:r>
      <w:r>
        <w:t>ff</w:t>
      </w:r>
      <w:r w:rsidRPr="00875FD4">
        <w:t>erent</w:t>
      </w:r>
      <w:r>
        <w:t xml:space="preserve"> </w:t>
      </w:r>
      <w:r w:rsidRPr="00875FD4">
        <w:t>and the United Nations could not adopt the</w:t>
      </w:r>
      <w:r>
        <w:t xml:space="preserve"> </w:t>
      </w:r>
      <w:r w:rsidRPr="00875FD4">
        <w:t>Mediator's proposals for disposing of areas within</w:t>
      </w:r>
      <w:r>
        <w:t xml:space="preserve"> </w:t>
      </w:r>
      <w:r w:rsidRPr="00875FD4">
        <w:t>the territory of Israel because it would constitute</w:t>
      </w:r>
      <w:r>
        <w:t xml:space="preserve"> </w:t>
      </w:r>
      <w:r w:rsidRPr="00875FD4">
        <w:t>an infringement of Israel's sovereignty.</w:t>
      </w:r>
      <w:r>
        <w:t>”  Liberia, 825 addresses sovereignty, but isn’t specific on if it thinks Israel had it at that point, though is clear that the UN didn’t; Syria, 843, made a point that would still negate Israel’s status as a sovereign state today, as in fact they do: “</w:t>
      </w:r>
      <w:r w:rsidRPr="009B42C5">
        <w:t>The delineation</w:t>
      </w:r>
      <w:r>
        <w:t xml:space="preserve"> </w:t>
      </w:r>
      <w:r w:rsidRPr="009B42C5">
        <w:t>of its</w:t>
      </w:r>
      <w:r>
        <w:t xml:space="preserve"> [Israel’s]</w:t>
      </w:r>
      <w:r w:rsidRPr="009B42C5">
        <w:t xml:space="preserve"> boundaries, which were a necessary attribute</w:t>
      </w:r>
      <w:r>
        <w:t xml:space="preserve"> </w:t>
      </w:r>
      <w:r w:rsidRPr="009B42C5">
        <w:t>of any State, was still being discussed by the</w:t>
      </w:r>
      <w:r>
        <w:t xml:space="preserve"> </w:t>
      </w:r>
      <w:r w:rsidRPr="009B42C5">
        <w:t>General Assembly ; before a conclusion had</w:t>
      </w:r>
      <w:r>
        <w:t xml:space="preserve"> </w:t>
      </w:r>
      <w:r w:rsidRPr="009B42C5">
        <w:t>been reached how could it be considered as a</w:t>
      </w:r>
      <w:r>
        <w:t xml:space="preserve"> </w:t>
      </w:r>
      <w:r w:rsidRPr="009B42C5">
        <w:t>State eligible for admission?</w:t>
      </w:r>
      <w:r>
        <w:t>”; New Zealand, 869: “</w:t>
      </w:r>
      <w:r w:rsidRPr="009B42C5">
        <w:t xml:space="preserve">The fact was that it </w:t>
      </w:r>
      <w:r>
        <w:t>[Israel]</w:t>
      </w:r>
      <w:r w:rsidRPr="009B42C5">
        <w:t>was carrying out all</w:t>
      </w:r>
      <w:r>
        <w:t xml:space="preserve"> </w:t>
      </w:r>
      <w:r w:rsidRPr="009B42C5">
        <w:t>the functions of a State and that whether it was</w:t>
      </w:r>
      <w:r>
        <w:t xml:space="preserve"> </w:t>
      </w:r>
      <w:r w:rsidRPr="009B42C5">
        <w:t>recognized or whether it was ignored, it was</w:t>
      </w:r>
      <w:r>
        <w:t xml:space="preserve"> </w:t>
      </w:r>
      <w:r w:rsidRPr="009B42C5">
        <w:t>actually there for the commission to deal with</w:t>
      </w:r>
      <w:r>
        <w:t>…”; Uruguay, 739: “</w:t>
      </w:r>
      <w:r w:rsidRPr="001F326C">
        <w:t>The Uruguayan delegation agreed with the</w:t>
      </w:r>
      <w:r>
        <w:t xml:space="preserve"> </w:t>
      </w:r>
      <w:r w:rsidRPr="001F326C">
        <w:t>conclusion of the Mediator that a Jewish State</w:t>
      </w:r>
      <w:r>
        <w:t xml:space="preserve"> </w:t>
      </w:r>
      <w:r w:rsidRPr="001F326C">
        <w:t>had undoubtedly come into being. The sovereignty</w:t>
      </w:r>
      <w:r>
        <w:t xml:space="preserve"> </w:t>
      </w:r>
      <w:r w:rsidRPr="001F326C">
        <w:t>of Israel could not be discussed.</w:t>
      </w:r>
      <w:r>
        <w:t>”</w:t>
      </w:r>
    </w:p>
  </w:endnote>
  <w:endnote w:id="78">
    <w:p w14:paraId="7802D137" w14:textId="77777777" w:rsidR="00E13BCB" w:rsidRPr="004A543C" w:rsidRDefault="00E13BCB" w:rsidP="00E13BCB">
      <w:pPr>
        <w:pStyle w:val="EndnoteText"/>
        <w:rPr>
          <w:bCs/>
        </w:rPr>
      </w:pPr>
      <w:r>
        <w:rPr>
          <w:rStyle w:val="EndnoteReference"/>
        </w:rPr>
        <w:endnoteRef/>
      </w:r>
      <w:r>
        <w:t xml:space="preserve"> The international community had struggled with the problem of its possible involvement in territorial revision.  The Covenant of the LN had allowed for this in Article XIX, and there were many debates and a large literature on how and if it might be used.  In the end, it wasn’t used.  In the negotiations that lead to the creation of the UN, the idea was considered and rejected; the LN experiment was a failure.  This issue is discussed at length in Zaccai Lewis, “</w:t>
      </w:r>
      <w:r w:rsidRPr="004A543C">
        <w:rPr>
          <w:bCs/>
        </w:rPr>
        <w:t>Rescuing the World with Promises, Appeasement and Threats: Minority Rights and Treaty Revision at Work</w:t>
      </w:r>
      <w:r>
        <w:rPr>
          <w:bCs/>
        </w:rPr>
        <w:t>,” an unpublished manuscript available from this author.</w:t>
      </w:r>
    </w:p>
  </w:endnote>
  <w:endnote w:id="79">
    <w:p w14:paraId="1F211575" w14:textId="77777777" w:rsidR="00E13BCB" w:rsidRDefault="00E13BCB" w:rsidP="00E13BCB">
      <w:pPr>
        <w:pStyle w:val="EndnoteText"/>
      </w:pPr>
      <w:r>
        <w:rPr>
          <w:rStyle w:val="EndnoteReference"/>
        </w:rPr>
        <w:endnoteRef/>
      </w:r>
      <w:r>
        <w:t xml:space="preserve"> Mediator’s Report, 5, pt. 6. 6, pt. 9 for the second quote.</w:t>
      </w:r>
    </w:p>
  </w:endnote>
  <w:endnote w:id="80">
    <w:p w14:paraId="5340E153" w14:textId="77777777" w:rsidR="00E13BCB" w:rsidRDefault="00E13BCB" w:rsidP="00E13BCB">
      <w:pPr>
        <w:pStyle w:val="EndnoteText"/>
      </w:pPr>
      <w:r>
        <w:rPr>
          <w:rStyle w:val="EndnoteReference"/>
        </w:rPr>
        <w:endnoteRef/>
      </w:r>
      <w:r>
        <w:t xml:space="preserve"> 1C SR 770.  An analogous situation where the international community came to the opposite conclusion might be when the Allies were negotiating a treaty of minority rights with Poland in 1919, but had already recognized its independence.  When Poland pushed back, hard, on the provisions the allies gave way, “… fully recognizing, at this late hour in their deliberations, that the time for dictating terms to Poland was over.”  </w:t>
      </w:r>
      <w:r w:rsidRPr="000D0526">
        <w:t>Carole</w:t>
      </w:r>
      <w:r>
        <w:t xml:space="preserve"> </w:t>
      </w:r>
      <w:r w:rsidRPr="000D0526">
        <w:t xml:space="preserve">Fink, </w:t>
      </w:r>
      <w:r w:rsidRPr="000D0526">
        <w:rPr>
          <w:i/>
        </w:rPr>
        <w:t xml:space="preserve">Defending the Rights of Others: The Great Powers, the Jews, and International Minority Protection, 1878-1938, </w:t>
      </w:r>
      <w:r>
        <w:t>(</w:t>
      </w:r>
      <w:r w:rsidRPr="000D0526">
        <w:t>Cambridge: Cambridge University Press, 2004</w:t>
      </w:r>
      <w:r>
        <w:t>), 249.</w:t>
      </w:r>
    </w:p>
  </w:endnote>
  <w:endnote w:id="81">
    <w:p w14:paraId="7B11135A" w14:textId="77777777" w:rsidR="00E13BCB" w:rsidRPr="0026217B" w:rsidRDefault="00E13BCB" w:rsidP="00E13BCB">
      <w:pPr>
        <w:pStyle w:val="EndnoteText"/>
      </w:pPr>
      <w:r>
        <w:rPr>
          <w:rStyle w:val="EndnoteReference"/>
        </w:rPr>
        <w:endnoteRef/>
      </w:r>
      <w:r>
        <w:t xml:space="preserve"> There might be one way, and that would be to include Israel in the sort of sovereignty accorded to Soviet satellite states.  St Korowicz, </w:t>
      </w:r>
      <w:r>
        <w:rPr>
          <w:i/>
        </w:rPr>
        <w:t xml:space="preserve">Introduction, </w:t>
      </w:r>
      <w:r w:rsidRPr="0026217B">
        <w:t>Chapter IV</w:t>
      </w:r>
      <w:r>
        <w:rPr>
          <w:i/>
        </w:rPr>
        <w:t xml:space="preserve">, </w:t>
      </w:r>
      <w:r w:rsidRPr="0026217B">
        <w:rPr>
          <w:i/>
        </w:rPr>
        <w:t>Soviet Conception of Sovereignty and International Law</w:t>
      </w:r>
      <w:r>
        <w:t xml:space="preserve">, p 108-57 gives an overview, but St Korowicz is clear that this isn’t real sovereignty.  In any case, Israel wasn’t a Soviet satellite.  </w:t>
      </w:r>
    </w:p>
  </w:endnote>
  <w:endnote w:id="82">
    <w:p w14:paraId="59205A9B" w14:textId="77777777" w:rsidR="00E13BCB" w:rsidRDefault="00E13BCB" w:rsidP="00E13BCB">
      <w:pPr>
        <w:pStyle w:val="EndnoteText"/>
      </w:pPr>
      <w:r>
        <w:rPr>
          <w:rStyle w:val="EndnoteReference"/>
        </w:rPr>
        <w:endnoteRef/>
      </w:r>
      <w:r>
        <w:t xml:space="preserve"> Constantine Rakcauskas, “The Jerusalem Problem: A Note on Legality,” </w:t>
      </w:r>
      <w:r>
        <w:rPr>
          <w:i/>
        </w:rPr>
        <w:t xml:space="preserve">Thought: Fordham University Quarterly </w:t>
      </w:r>
      <w:r>
        <w:t>XXV, No 96, (March, 1950): 100-114.</w:t>
      </w:r>
    </w:p>
  </w:endnote>
  <w:endnote w:id="83">
    <w:p w14:paraId="4940D056" w14:textId="77777777" w:rsidR="00E13BCB" w:rsidRPr="00E437A3" w:rsidRDefault="00E13BCB" w:rsidP="00E13BCB">
      <w:pPr>
        <w:pStyle w:val="EndnoteText"/>
      </w:pPr>
      <w:r>
        <w:rPr>
          <w:rStyle w:val="EndnoteReference"/>
        </w:rPr>
        <w:endnoteRef/>
      </w:r>
      <w:r>
        <w:t xml:space="preserve"> Rakcauskas, “Jerusalem,” 111.</w:t>
      </w:r>
    </w:p>
  </w:endnote>
  <w:endnote w:id="84">
    <w:p w14:paraId="56855FE3" w14:textId="77777777" w:rsidR="00E13BCB" w:rsidRDefault="00E13BCB" w:rsidP="00E13BCB">
      <w:pPr>
        <w:pStyle w:val="EndnoteText"/>
      </w:pPr>
      <w:r>
        <w:rPr>
          <w:rStyle w:val="EndnoteReference"/>
        </w:rPr>
        <w:endnoteRef/>
      </w:r>
      <w:r>
        <w:t xml:space="preserve"> Mediator’s Report, 6, pt. 13. For the latter, 9, pt. (7) and again on 26, pt. (7) where he also justifies some future UN involvement.  Determining ‘absorptive capacity’ was a long struggle between the Yishuv and the UK during the mandate.  This notion of sovereignty seems to imply that sovereign nations can’t make ignorant or stupid decisions or even mistakes, a contention no publicist of the issue could agree with.  They can and do every day.</w:t>
      </w:r>
    </w:p>
  </w:endnote>
  <w:endnote w:id="85">
    <w:p w14:paraId="55BC6FD7" w14:textId="77777777" w:rsidR="00E13BCB" w:rsidRDefault="00E13BCB" w:rsidP="00E13BCB">
      <w:pPr>
        <w:pStyle w:val="EndnoteText"/>
      </w:pPr>
      <w:r>
        <w:rPr>
          <w:rStyle w:val="EndnoteReference"/>
        </w:rPr>
        <w:endnoteRef/>
      </w:r>
      <w:r>
        <w:t xml:space="preserve"> China, 1C SR 686, there is much more to their point, Sweden, 161.</w:t>
      </w:r>
    </w:p>
  </w:endnote>
  <w:endnote w:id="86">
    <w:p w14:paraId="391B65EB" w14:textId="77777777" w:rsidR="00E13BCB" w:rsidRDefault="00E13BCB" w:rsidP="00E13BCB">
      <w:pPr>
        <w:pStyle w:val="EndnoteText"/>
      </w:pPr>
      <w:r>
        <w:rPr>
          <w:rStyle w:val="EndnoteReference"/>
        </w:rPr>
        <w:endnoteRef/>
      </w:r>
      <w:r>
        <w:t xml:space="preserve"> Mediator’s report, 25, pt. 5.</w:t>
      </w:r>
    </w:p>
  </w:endnote>
  <w:endnote w:id="87">
    <w:p w14:paraId="6B21C7E7" w14:textId="77777777" w:rsidR="00E13BCB" w:rsidRDefault="00E13BCB" w:rsidP="00E13BCB">
      <w:pPr>
        <w:pStyle w:val="EndnoteText"/>
      </w:pPr>
      <w:r>
        <w:rPr>
          <w:rStyle w:val="EndnoteReference"/>
        </w:rPr>
        <w:endnoteRef/>
      </w:r>
      <w:r>
        <w:t xml:space="preserve"> In the mediator’s first set of recommendations of 12 June, which was based on a federal union of the Jewish and Arab parts, each had rights to oversee the other’s immigration policies, and there was final international oversight of that, he includes his first report in the second report, the part on immigration is 8, pt. (6).</w:t>
      </w:r>
    </w:p>
  </w:endnote>
  <w:endnote w:id="88">
    <w:p w14:paraId="09FED977" w14:textId="77777777" w:rsidR="00E13BCB" w:rsidRDefault="00E13BCB" w:rsidP="00E13BCB">
      <w:pPr>
        <w:pStyle w:val="EndnoteText"/>
      </w:pPr>
      <w:r>
        <w:rPr>
          <w:rStyle w:val="EndnoteReference"/>
        </w:rPr>
        <w:endnoteRef/>
      </w:r>
      <w:r>
        <w:t xml:space="preserve"> Parts of the report dealing with refugees: 7, pt. 14; 13-14, Section V, Refugees; 8, pt. (9), which is in his first plan; 17, pt (e) and 18, pt. (i) are in the second plan, all of Section III, 47-53.  At all times, he uses the phrase, ‘right of return’ ,“the ultimate right of all Arab refugees to return…” 14, pt. (1), and “…their unconditional right to make a free choice…” 14, pt. 8.  However, when the GA passed 194 (III) on 27 November, 1948, during the meetings of the 1C, they removed the word right and made the return conditional: “Resolves that the refugees wishing to return to their homes and live at peace with their neighbors should be permitted to do so at the earliest practicable date…”.</w:t>
      </w:r>
    </w:p>
  </w:endnote>
  <w:endnote w:id="89">
    <w:p w14:paraId="10E9571E" w14:textId="77777777" w:rsidR="00E13BCB" w:rsidRPr="008B46BC" w:rsidRDefault="00E13BCB" w:rsidP="00E13BCB">
      <w:pPr>
        <w:pStyle w:val="EndnoteText"/>
      </w:pPr>
      <w:r>
        <w:rPr>
          <w:rStyle w:val="EndnoteReference"/>
        </w:rPr>
        <w:endnoteRef/>
      </w:r>
      <w:r>
        <w:t xml:space="preserve"> 1C SR 645: “</w:t>
      </w:r>
      <w:r w:rsidRPr="009256B1">
        <w:t>In connexion with all questions of territorial</w:t>
      </w:r>
      <w:r>
        <w:t xml:space="preserve"> </w:t>
      </w:r>
      <w:r w:rsidRPr="009256B1">
        <w:t>adjustment, Israel would prefer to see the</w:t>
      </w:r>
      <w:r>
        <w:t xml:space="preserve"> </w:t>
      </w:r>
      <w:r w:rsidRPr="009256B1">
        <w:t>establishment of a separate independent Arab</w:t>
      </w:r>
      <w:r>
        <w:t xml:space="preserve"> </w:t>
      </w:r>
      <w:r w:rsidRPr="009256B1">
        <w:t>State corresponding, as far as practicable, to</w:t>
      </w:r>
      <w:r>
        <w:t xml:space="preserve"> </w:t>
      </w:r>
      <w:r w:rsidRPr="009256B1">
        <w:t>the provisions of the 29 November resolution,</w:t>
      </w:r>
      <w:r>
        <w:t xml:space="preserve"> </w:t>
      </w:r>
      <w:r w:rsidRPr="009256B1">
        <w:t>and would be ready to negotiate with it on mutual</w:t>
      </w:r>
      <w:r>
        <w:t xml:space="preserve"> </w:t>
      </w:r>
      <w:r w:rsidRPr="009256B1">
        <w:t>adjustments of boundaries, if such a State</w:t>
      </w:r>
      <w:r>
        <w:t xml:space="preserve"> </w:t>
      </w:r>
      <w:r w:rsidRPr="009256B1">
        <w:t>declared itself ready to enter into close alliance</w:t>
      </w:r>
      <w:r>
        <w:t xml:space="preserve"> </w:t>
      </w:r>
      <w:r w:rsidRPr="009256B1">
        <w:t>with Israel</w:t>
      </w:r>
      <w:r>
        <w:t>.”  715:”</w:t>
      </w:r>
      <w:r w:rsidRPr="008B46BC">
        <w:rPr>
          <w:rFonts w:ascii="Times New Roman" w:hAnsi="Times New Roman" w:cs="Times New Roman"/>
          <w:color w:val="020202"/>
        </w:rPr>
        <w:t xml:space="preserve"> </w:t>
      </w:r>
      <w:r w:rsidRPr="008B46BC">
        <w:t>Israel would prefer the establishment of an Arab</w:t>
      </w:r>
      <w:r>
        <w:t xml:space="preserve"> </w:t>
      </w:r>
      <w:r w:rsidRPr="008B46BC">
        <w:t>State in Palestine with which it would be prepared</w:t>
      </w:r>
      <w:r>
        <w:t xml:space="preserve"> </w:t>
      </w:r>
      <w:r w:rsidRPr="008B46BC">
        <w:t>to discuss boundary adjustments, but if that area</w:t>
      </w:r>
    </w:p>
    <w:p w14:paraId="62BFC5CE" w14:textId="77777777" w:rsidR="00E13BCB" w:rsidRDefault="00E13BCB" w:rsidP="00E13BCB">
      <w:pPr>
        <w:pStyle w:val="EndnoteText"/>
      </w:pPr>
      <w:r w:rsidRPr="008B46BC">
        <w:t>was to be swallowed up by neighbouring Arab</w:t>
      </w:r>
      <w:r>
        <w:t xml:space="preserve"> </w:t>
      </w:r>
      <w:r w:rsidRPr="008B46BC">
        <w:t>States who were adequately provided with territory,</w:t>
      </w:r>
      <w:r>
        <w:t xml:space="preserve"> </w:t>
      </w:r>
      <w:r w:rsidRPr="008B46BC">
        <w:t>Israel could not acknowledge that they</w:t>
      </w:r>
      <w:r>
        <w:t xml:space="preserve"> </w:t>
      </w:r>
      <w:r w:rsidRPr="008B46BC">
        <w:t>held superior claims to its own.</w:t>
      </w:r>
      <w:r>
        <w:t>”</w:t>
      </w:r>
      <w:r w:rsidRPr="008B46BC">
        <w:t xml:space="preserve"> </w:t>
      </w:r>
      <w:r>
        <w:t>844: “… to give sympathetic consideration to the applications of either of the two states envisaged by that resolution [181].”</w:t>
      </w:r>
    </w:p>
  </w:endnote>
  <w:endnote w:id="90">
    <w:p w14:paraId="72145A9B" w14:textId="77777777" w:rsidR="00E13BCB" w:rsidRDefault="00E13BCB" w:rsidP="00E13BCB">
      <w:pPr>
        <w:pStyle w:val="EndnoteText"/>
      </w:pPr>
      <w:r>
        <w:rPr>
          <w:rStyle w:val="EndnoteReference"/>
        </w:rPr>
        <w:endnoteRef/>
      </w:r>
      <w:r>
        <w:t xml:space="preserve"> 1C SR 645: “</w:t>
      </w:r>
      <w:r w:rsidRPr="008B46BC">
        <w:t>But, if the Mediator's proposal</w:t>
      </w:r>
      <w:r>
        <w:t xml:space="preserve"> </w:t>
      </w:r>
      <w:r w:rsidRPr="008B46BC">
        <w:t>to join the Arab part of Palestine to the Kingdom</w:t>
      </w:r>
      <w:r>
        <w:t xml:space="preserve"> </w:t>
      </w:r>
      <w:r w:rsidRPr="008B46BC">
        <w:t>of Transjordan were carried through, the ratio</w:t>
      </w:r>
      <w:r>
        <w:t xml:space="preserve"> </w:t>
      </w:r>
      <w:r w:rsidRPr="008B46BC">
        <w:t>between the area of Israel and that of its Arab</w:t>
      </w:r>
      <w:r>
        <w:t xml:space="preserve"> </w:t>
      </w:r>
      <w:r w:rsidRPr="008B46BC">
        <w:t>neighbour would be 1 to 20, that would change</w:t>
      </w:r>
      <w:r>
        <w:t xml:space="preserve"> </w:t>
      </w:r>
      <w:r w:rsidRPr="008B46BC">
        <w:t>the whole basis of the territorial distribution</w:t>
      </w:r>
      <w:r>
        <w:t xml:space="preserve"> </w:t>
      </w:r>
      <w:r w:rsidRPr="008B46BC">
        <w:t>of the 29 November resolution.</w:t>
      </w:r>
      <w:r>
        <w:t xml:space="preserve">” Also 2 quotes above.  </w:t>
      </w:r>
    </w:p>
  </w:endnote>
  <w:endnote w:id="91">
    <w:p w14:paraId="11E4E64C" w14:textId="77777777" w:rsidR="00E13BCB" w:rsidRDefault="00E13BCB" w:rsidP="00E13BCB">
      <w:pPr>
        <w:pStyle w:val="EndnoteText"/>
      </w:pPr>
      <w:r>
        <w:rPr>
          <w:rStyle w:val="EndnoteReference"/>
        </w:rPr>
        <w:endnoteRef/>
      </w:r>
      <w:r>
        <w:t xml:space="preserve"> 1C SR, 888 the UK gives its reasoning, saying that an Arab Palestinian state wouldn’t be economically viable. </w:t>
      </w:r>
    </w:p>
  </w:endnote>
  <w:endnote w:id="92">
    <w:p w14:paraId="15639A00" w14:textId="77777777" w:rsidR="00E13BCB" w:rsidRDefault="00E13BCB" w:rsidP="00E13BCB">
      <w:pPr>
        <w:pStyle w:val="EndnoteText"/>
      </w:pPr>
      <w:r>
        <w:rPr>
          <w:rStyle w:val="EndnoteReference"/>
        </w:rPr>
        <w:endnoteRef/>
      </w:r>
      <w:r>
        <w:t xml:space="preserve"> 1C SR, Yugoslavia: 722; Ukraine: 732, 823, 926; Byelorussia: 742, 795; Poland: 773, 819, 824, 889, 927; Czechoslovakia: 778; USSR: 819, 838.</w:t>
      </w:r>
    </w:p>
  </w:endnote>
  <w:endnote w:id="93">
    <w:p w14:paraId="2917A1CE" w14:textId="77777777" w:rsidR="00E13BCB" w:rsidRDefault="00E13BCB" w:rsidP="00E13BCB">
      <w:pPr>
        <w:pStyle w:val="EndnoteText"/>
      </w:pPr>
      <w:r>
        <w:rPr>
          <w:rStyle w:val="EndnoteReference"/>
        </w:rPr>
        <w:endnoteRef/>
      </w:r>
      <w:r>
        <w:t xml:space="preserve"> 1C SR, Dominican Republic: 693; Uruguay: 740; New Zealand: 805; Guatemala, in a resolution, 882.</w:t>
      </w:r>
    </w:p>
  </w:endnote>
  <w:endnote w:id="94">
    <w:p w14:paraId="0AA73155" w14:textId="77777777" w:rsidR="00E13BCB" w:rsidRDefault="00E13BCB" w:rsidP="00E13BCB">
      <w:pPr>
        <w:pStyle w:val="EndnoteText"/>
      </w:pPr>
      <w:r>
        <w:rPr>
          <w:rStyle w:val="EndnoteReference"/>
        </w:rPr>
        <w:endnoteRef/>
      </w:r>
      <w:r>
        <w:t xml:space="preserve"> 1C SR 764</w:t>
      </w:r>
    </w:p>
  </w:endnote>
  <w:endnote w:id="95">
    <w:p w14:paraId="4B1C4705" w14:textId="77777777" w:rsidR="00E13BCB" w:rsidRDefault="00E13BCB" w:rsidP="00E13BCB">
      <w:pPr>
        <w:pStyle w:val="EndnoteText"/>
      </w:pPr>
      <w:r>
        <w:rPr>
          <w:rStyle w:val="EndnoteReference"/>
        </w:rPr>
        <w:endnoteRef/>
      </w:r>
      <w:r>
        <w:t xml:space="preserve"> Mediator’s report, Haifa, 18, pt. (e), Lydda, 18, (f), minority rights, 18, (i), the Israeli response is 25, pt.3.</w:t>
      </w:r>
    </w:p>
    <w:p w14:paraId="16DD6D0D" w14:textId="77777777" w:rsidR="00E13BCB" w:rsidRPr="00075425" w:rsidRDefault="00E13BCB" w:rsidP="00E13BCB">
      <w:pPr>
        <w:pStyle w:val="EndnoteText"/>
      </w:pPr>
      <w:r>
        <w:t xml:space="preserve">Mazower, </w:t>
      </w:r>
      <w:r>
        <w:rPr>
          <w:i/>
        </w:rPr>
        <w:t xml:space="preserve">No Enchanted, </w:t>
      </w:r>
      <w:r>
        <w:t>142, is specific that Palestine is the only situation in which the UN recognized minority rights in the same manner as the LN.  This is dealt with at length in Lewis, “Minority Rights and Treaty Revision”.</w:t>
      </w:r>
    </w:p>
  </w:endnote>
  <w:endnote w:id="96">
    <w:p w14:paraId="47AD4438" w14:textId="77777777" w:rsidR="00E13BCB" w:rsidRPr="0096623A" w:rsidRDefault="00E13BCB" w:rsidP="00E13BCB">
      <w:pPr>
        <w:pStyle w:val="EndnoteText"/>
        <w:rPr>
          <w:bCs/>
        </w:rPr>
      </w:pPr>
      <w:r>
        <w:rPr>
          <w:rStyle w:val="EndnoteReference"/>
        </w:rPr>
        <w:endnoteRef/>
      </w:r>
      <w:r>
        <w:t xml:space="preserve"> This author deals with the issue in more depth in Zaccai Lewis, “</w:t>
      </w:r>
      <w:r w:rsidRPr="0096623A">
        <w:rPr>
          <w:bCs/>
        </w:rPr>
        <w:t>Creating a Separate Body: The Attempts to Internationalize Jerusalem, 1947-1950</w:t>
      </w:r>
      <w:r>
        <w:rPr>
          <w:bCs/>
        </w:rPr>
        <w:t>”, unpublished manuscript, available from this author.</w:t>
      </w:r>
    </w:p>
  </w:endnote>
  <w:endnote w:id="97">
    <w:p w14:paraId="5D1EF088" w14:textId="77777777" w:rsidR="00E13BCB" w:rsidRPr="00A44EE5" w:rsidRDefault="00E13BCB" w:rsidP="00E13BCB">
      <w:pPr>
        <w:pStyle w:val="EndnoteText"/>
      </w:pPr>
      <w:r>
        <w:rPr>
          <w:rStyle w:val="EndnoteReference"/>
        </w:rPr>
        <w:endnoteRef/>
      </w:r>
      <w:r>
        <w:t xml:space="preserve"> Nevo, </w:t>
      </w:r>
      <w:r>
        <w:rPr>
          <w:i/>
        </w:rPr>
        <w:t xml:space="preserve">King Abdallah, </w:t>
      </w:r>
      <w:r>
        <w:t>167-170, also</w:t>
      </w:r>
      <w:r w:rsidRPr="00A44EE5">
        <w:t xml:space="preserve"> Laurie A.</w:t>
      </w:r>
      <w:r>
        <w:t xml:space="preserve"> </w:t>
      </w:r>
      <w:r w:rsidRPr="00A44EE5">
        <w:t xml:space="preserve">Brand, Palestine in the Arab World: Institution Building and the Search for a State, </w:t>
      </w:r>
      <w:r>
        <w:t>(</w:t>
      </w:r>
      <w:r w:rsidRPr="00A44EE5">
        <w:t>New York: Columbia University Press, 1988</w:t>
      </w:r>
      <w:r>
        <w:t>), 161 for the story of this conference.</w:t>
      </w:r>
    </w:p>
  </w:endnote>
  <w:endnote w:id="98">
    <w:p w14:paraId="06FE8998" w14:textId="77777777" w:rsidR="00E13BCB" w:rsidRDefault="00E13BCB" w:rsidP="00E13BCB">
      <w:pPr>
        <w:pStyle w:val="EndnoteText"/>
      </w:pPr>
      <w:r>
        <w:rPr>
          <w:rStyle w:val="EndnoteReference"/>
        </w:rPr>
        <w:endnoteRef/>
      </w:r>
      <w:r>
        <w:t xml:space="preserve"> The resolution was passed 1C SR, 923, but paragraph 5, which recommended the transfer of land, was defeated 890.</w:t>
      </w:r>
    </w:p>
  </w:endnote>
  <w:endnote w:id="99">
    <w:p w14:paraId="6DF14D2E" w14:textId="77777777" w:rsidR="00E13BCB" w:rsidRDefault="00E13BCB" w:rsidP="00E13BCB">
      <w:pPr>
        <w:pStyle w:val="EndnoteText"/>
      </w:pPr>
      <w:r>
        <w:rPr>
          <w:rStyle w:val="EndnoteReference"/>
        </w:rPr>
        <w:endnoteRef/>
      </w:r>
      <w:r>
        <w:t xml:space="preserve"> The document is at </w:t>
      </w:r>
      <w:hyperlink r:id="rId3" w:history="1">
        <w:r w:rsidRPr="00F33A70">
          <w:rPr>
            <w:rStyle w:val="Hyperlink"/>
          </w:rPr>
          <w:t>https://unispal.un.org/DPA/DPR/unispal.nsf/0/C758572B78D1CD0085256BCF0077E51A</w:t>
        </w:r>
      </w:hyperlink>
      <w:r>
        <w:t xml:space="preserve"> </w:t>
      </w:r>
    </w:p>
    <w:p w14:paraId="5D2ACA0E" w14:textId="77777777" w:rsidR="00E13BCB" w:rsidRDefault="00E13BCB" w:rsidP="00E13BCB">
      <w:pPr>
        <w:pStyle w:val="EndnoteText"/>
      </w:pPr>
      <w:r>
        <w:t xml:space="preserve">7-9 are about Jerusalem and 11 covers the refugees.  </w:t>
      </w:r>
    </w:p>
  </w:endnote>
  <w:endnote w:id="100">
    <w:p w14:paraId="4D966E1A" w14:textId="77777777" w:rsidR="00E13BCB" w:rsidRDefault="00E13BCB" w:rsidP="00E13BCB">
      <w:pPr>
        <w:pStyle w:val="EndnoteText"/>
      </w:pPr>
      <w:r>
        <w:rPr>
          <w:rStyle w:val="EndnoteReference"/>
        </w:rPr>
        <w:endnoteRef/>
      </w:r>
      <w:r>
        <w:t xml:space="preserve"> Mediator’s Report, 17 pt.g.</w:t>
      </w:r>
    </w:p>
  </w:endnote>
  <w:endnote w:id="101">
    <w:p w14:paraId="1F0AAE51" w14:textId="77777777" w:rsidR="00E13BCB" w:rsidRDefault="00E13BCB" w:rsidP="00E13BCB">
      <w:pPr>
        <w:pStyle w:val="EndnoteText"/>
      </w:pPr>
      <w:r>
        <w:rPr>
          <w:rStyle w:val="EndnoteReference"/>
        </w:rPr>
        <w:endnoteRef/>
      </w:r>
      <w:r>
        <w:t xml:space="preserve"> I assume that he meant to say “the boundaries within Palestine”.  The problem of people continuing to use the term ‘Palestine” in political contexts after it had lost its political meaning is a separate one.  </w:t>
      </w:r>
    </w:p>
  </w:endnote>
  <w:endnote w:id="102">
    <w:p w14:paraId="77CE2F37" w14:textId="77777777" w:rsidR="00E13BCB" w:rsidRDefault="00E13BCB" w:rsidP="00E13BCB">
      <w:pPr>
        <w:pStyle w:val="EndnoteText"/>
      </w:pPr>
      <w:r>
        <w:rPr>
          <w:rStyle w:val="EndnoteReference"/>
        </w:rPr>
        <w:endnoteRef/>
      </w:r>
      <w:r>
        <w:t xml:space="preserve"> 1C SR, 769 and 771.</w:t>
      </w:r>
    </w:p>
  </w:endnote>
  <w:endnote w:id="103">
    <w:p w14:paraId="3BF6505C" w14:textId="77777777" w:rsidR="00E13BCB" w:rsidRDefault="00E13BCB" w:rsidP="00E13BCB">
      <w:pPr>
        <w:pStyle w:val="EndnoteText"/>
      </w:pPr>
      <w:r>
        <w:rPr>
          <w:rStyle w:val="EndnoteReference"/>
        </w:rPr>
        <w:endnoteRef/>
      </w:r>
      <w:r>
        <w:t xml:space="preserve"> Iraq: 1C SR 765, Sweden: 927.</w:t>
      </w:r>
    </w:p>
  </w:endnote>
  <w:endnote w:id="104">
    <w:p w14:paraId="7375AB2A" w14:textId="77777777" w:rsidR="00E13BCB" w:rsidRDefault="00E13BCB" w:rsidP="00E13BCB">
      <w:pPr>
        <w:pStyle w:val="EndnoteText"/>
      </w:pPr>
      <w:r>
        <w:rPr>
          <w:rStyle w:val="EndnoteReference"/>
        </w:rPr>
        <w:endnoteRef/>
      </w:r>
      <w:r>
        <w:t xml:space="preserve"> UN Yearbook, 1948-49, 170, “Many of these representatives [arguing against bringing up specifics of what was happening in Palestine at the time] believed there would be considerable difficulty in defining what was meant by “foreign” troops in Palestine.” </w:t>
      </w:r>
    </w:p>
  </w:endnote>
  <w:endnote w:id="105">
    <w:p w14:paraId="043470FC" w14:textId="77777777" w:rsidR="00E13BCB" w:rsidRDefault="00E13BCB" w:rsidP="00E13BCB">
      <w:pPr>
        <w:pStyle w:val="EndnoteText"/>
      </w:pPr>
      <w:r>
        <w:rPr>
          <w:rStyle w:val="EndnoteReference"/>
        </w:rPr>
        <w:endnoteRef/>
      </w:r>
      <w:r>
        <w:t xml:space="preserve"> Carl Voss, “</w:t>
      </w:r>
      <w:r w:rsidRPr="00952007">
        <w:t>Palestine</w:t>
      </w:r>
      <w:r>
        <w:t xml:space="preserve">: </w:t>
      </w:r>
      <w:r w:rsidRPr="00952007">
        <w:t>Acid Test of the United Nations</w:t>
      </w:r>
      <w:r>
        <w:t xml:space="preserve">”, </w:t>
      </w:r>
      <w:r w:rsidRPr="00952007">
        <w:rPr>
          <w:i/>
        </w:rPr>
        <w:t xml:space="preserve">The Annals of the American Academy of Political and Social Science, </w:t>
      </w:r>
      <w:r w:rsidRPr="00952007">
        <w:t xml:space="preserve">Vol. 258, Looking toward One World (Jul., 1948), </w:t>
      </w:r>
      <w:r>
        <w:t>18, is clear that this was considered and rejected by both The UN Special Committee on Palestine in Aug 1947, and then the Ad Hoc Committee of the GA late that same year.  Leonard, “The UN”, 662-66, covers the US’s last-ditch attempt to scuttle 181 by trying this 16 April 1948.</w:t>
      </w:r>
    </w:p>
  </w:endnote>
  <w:endnote w:id="106">
    <w:p w14:paraId="6ADF176F" w14:textId="77777777" w:rsidR="00E13BCB" w:rsidRDefault="00E13BCB" w:rsidP="00E13BCB">
      <w:pPr>
        <w:pStyle w:val="EndnoteText"/>
      </w:pPr>
      <w:r>
        <w:rPr>
          <w:rStyle w:val="EndnoteReference"/>
        </w:rPr>
        <w:endnoteRef/>
      </w:r>
      <w:r>
        <w:t xml:space="preserve"> The standard response to this is that it is impermissible for a state to take territory in a war.  This is a specious argument.  States can a do take territory in wars all the time, and more often than not, the international community accepts the outcome.  </w:t>
      </w:r>
      <w:r w:rsidRPr="004F29C4">
        <w:t>Quincy</w:t>
      </w:r>
      <w:r>
        <w:t xml:space="preserve"> </w:t>
      </w:r>
      <w:r w:rsidRPr="004F29C4">
        <w:t xml:space="preserve">Wright, Harold Tobin and Chesney Hill. “Article 19 of the League Covenant and the Doctrine ‘Rebus Sic Stantibus’.” </w:t>
      </w:r>
      <w:r w:rsidRPr="004F29C4">
        <w:rPr>
          <w:i/>
        </w:rPr>
        <w:t xml:space="preserve">Proceedings of the American Society of International Law at Its Annual Meeting (1921-1969), </w:t>
      </w:r>
      <w:r w:rsidRPr="004F29C4">
        <w:t>Vol. 30 (APRIL 23-25, 1936)</w:t>
      </w:r>
      <w:r>
        <w:t xml:space="preserve"> 64, points 3, particularly starting “Conquest of territory…” and 4 establish that are multiple ways for the international community to accommodate and legitimate change that starts in war.</w:t>
      </w:r>
    </w:p>
  </w:endnote>
  <w:endnote w:id="107">
    <w:p w14:paraId="0B92FDC1" w14:textId="77777777" w:rsidR="00E13BCB" w:rsidRDefault="00E13BCB" w:rsidP="00E13BCB">
      <w:pPr>
        <w:pStyle w:val="EndnoteText"/>
      </w:pPr>
      <w:r>
        <w:rPr>
          <w:rStyle w:val="EndnoteReference"/>
        </w:rPr>
        <w:endnoteRef/>
      </w:r>
      <w:r>
        <w:t xml:space="preserve"> UN Secretary</w:t>
      </w:r>
    </w:p>
    <w:p w14:paraId="211D957B" w14:textId="77777777" w:rsidR="00E13BCB" w:rsidRDefault="00E13BCB" w:rsidP="00E13BCB">
      <w:pPr>
        <w:pStyle w:val="EndnoteText"/>
      </w:pPr>
      <w:r>
        <w:t xml:space="preserve"> General </w:t>
      </w:r>
      <w:r w:rsidRPr="00A40256">
        <w:t>Trygve Lie</w:t>
      </w:r>
      <w:r w:rsidRPr="00A40256">
        <w:rPr>
          <w:i/>
        </w:rPr>
        <w:t xml:space="preserve">, In the Cause of Peace: Seven Years with the United Nations </w:t>
      </w:r>
      <w:r w:rsidRPr="00A40256">
        <w:t>(New York, McMillan Co., 1954)</w:t>
      </w:r>
      <w:r>
        <w:t xml:space="preserve"> hammered at the point all the time that without a force, the UN could do nothing, and tried again and again to organize one.  166-69.  Leonard, “The UN” is full of mentions of the need for a UN force.  </w:t>
      </w:r>
    </w:p>
  </w:endnote>
  <w:endnote w:id="108">
    <w:p w14:paraId="06FC4449" w14:textId="77777777" w:rsidR="00E13BCB" w:rsidRDefault="00E13BCB" w:rsidP="00E13BCB">
      <w:pPr>
        <w:pStyle w:val="EndnoteText"/>
      </w:pPr>
      <w:r>
        <w:rPr>
          <w:rStyle w:val="EndnoteReference"/>
        </w:rPr>
        <w:endnoteRef/>
      </w:r>
      <w:r>
        <w:t xml:space="preserve"> A crucial difference is that the UN used force in Korea, and later in the Katanga crisis in Congo, to protect existing borders.  In the case of Israel, it would have been to change them.  This is exacerbated by the fact that unlike in Korea or Congo, the UN made certain that there were no recognized borders to protect, and so how could they have chosen to protect them?</w:t>
      </w:r>
    </w:p>
  </w:endnote>
  <w:endnote w:id="109">
    <w:p w14:paraId="16D46BA1" w14:textId="77777777" w:rsidR="00E13BCB" w:rsidRPr="003A6D91" w:rsidRDefault="00E13BCB" w:rsidP="00E13BCB">
      <w:pPr>
        <w:pStyle w:val="EndnoteText"/>
      </w:pPr>
      <w:r>
        <w:rPr>
          <w:rStyle w:val="EndnoteReference"/>
        </w:rPr>
        <w:endnoteRef/>
      </w:r>
      <w:r>
        <w:t xml:space="preserve"> Wright, </w:t>
      </w:r>
      <w:r>
        <w:rPr>
          <w:i/>
        </w:rPr>
        <w:t xml:space="preserve">Mandates, </w:t>
      </w:r>
      <w:r>
        <w:t xml:space="preserve">397 discusses self-governing political institutions as a measure of a mandate’s preparedness for independence.  Perhaps he leaves the Jewish Agency out of his list because there was no parallel institution on the Arab side.  Pedersen, </w:t>
      </w:r>
      <w:r>
        <w:rPr>
          <w:i/>
        </w:rPr>
        <w:t xml:space="preserve">Guardians, </w:t>
      </w:r>
      <w:r>
        <w:t xml:space="preserve">261-288 has a full chapter on the politics surrounding Iraq’s independence from mandate status and acceptance to the LN. </w:t>
      </w:r>
    </w:p>
  </w:endnote>
  <w:endnote w:id="110">
    <w:p w14:paraId="6E31C16C" w14:textId="77777777" w:rsidR="00E13BCB" w:rsidRPr="00C31972" w:rsidRDefault="00E13BCB" w:rsidP="00E13BCB">
      <w:pPr>
        <w:pStyle w:val="EndnoteText"/>
      </w:pPr>
      <w:r>
        <w:rPr>
          <w:rStyle w:val="EndnoteReference"/>
        </w:rPr>
        <w:endnoteRef/>
      </w:r>
      <w:r>
        <w:t xml:space="preserve"> It is difficult to write, or think, clearly about things that are undefined.  At this point in history, ‘Palestine’ had no political meaning.  Mandatory Palestine was over, as the mandate had been terminated.  Israel existed, but that leaves the problem of what to call WB and Gaza, the remaining parts.  The WB was in the process of being annexed by Jordan, but that would never be recognized by the international community.  Gaza was under military occupation by Egypt.  There is no good term to approach them collectively.  The UN continued to use ‘Palestine’ in its documents long after it had lost any political meaning.  It is not surprising that there is no good term for what I am trying to describe, a point of the paper is that poor definitions lead to poor thinking and choices.</w:t>
      </w:r>
    </w:p>
    <w:p w14:paraId="05D64672" w14:textId="77777777" w:rsidR="00E13BCB" w:rsidRPr="00C31972" w:rsidRDefault="00E13BCB" w:rsidP="00E13BCB">
      <w:pPr>
        <w:pStyle w:val="EndnoteText"/>
      </w:pPr>
      <w:r>
        <w:t xml:space="preserve"> Eban, </w:t>
      </w:r>
      <w:r>
        <w:rPr>
          <w:i/>
        </w:rPr>
        <w:t xml:space="preserve">Personal Witness, </w:t>
      </w:r>
      <w:r>
        <w:t>183, has a discussion of getting the UK to use the name ‘Israel’ well after it was declared and in the UN.</w:t>
      </w:r>
    </w:p>
  </w:endnote>
  <w:endnote w:id="111">
    <w:p w14:paraId="085940C9" w14:textId="77777777" w:rsidR="00E13BCB" w:rsidRDefault="00E13BCB" w:rsidP="00E13BCB">
      <w:pPr>
        <w:pStyle w:val="EndnoteText"/>
      </w:pPr>
      <w:r>
        <w:rPr>
          <w:rStyle w:val="EndnoteReference"/>
        </w:rPr>
        <w:endnoteRef/>
      </w:r>
      <w:r>
        <w:t xml:space="preserve"> A partial list from 1C SR is AHC:653; Syria: 689, 747, 851; Egypt: 838, 932; El Salvador: 931.  On 932, a vote is taken on a resolution to send it to the ICJ, and it lost on a tie.  We have already seen that it was never sent to the PICJ during the LN era.  </w:t>
      </w:r>
    </w:p>
  </w:endnote>
  <w:endnote w:id="112">
    <w:p w14:paraId="6317096D" w14:textId="77777777" w:rsidR="00E13BCB" w:rsidRDefault="00E13BCB" w:rsidP="00E13BCB">
      <w:pPr>
        <w:pStyle w:val="EndnoteText"/>
      </w:pPr>
      <w:r>
        <w:rPr>
          <w:rStyle w:val="EndnoteReference"/>
        </w:rPr>
        <w:endnoteRef/>
      </w:r>
      <w:r>
        <w:t xml:space="preserve"> Leonard, “The UN”, 642-3 tells the story of this attempt, 690-91 covers the politics of a second attempt in July 1948.</w:t>
      </w:r>
    </w:p>
  </w:endnote>
  <w:endnote w:id="113">
    <w:p w14:paraId="05D19376" w14:textId="77777777" w:rsidR="00E13BCB" w:rsidRDefault="00E13BCB" w:rsidP="00E13BCB">
      <w:pPr>
        <w:pStyle w:val="EndnoteText"/>
      </w:pPr>
      <w:r>
        <w:rPr>
          <w:rStyle w:val="EndnoteReference"/>
        </w:rPr>
        <w:endnoteRef/>
      </w:r>
      <w:r>
        <w:t xml:space="preserve"> 6</w:t>
      </w:r>
      <w:r w:rsidRPr="00F90C3B">
        <w:rPr>
          <w:vertAlign w:val="superscript"/>
        </w:rPr>
        <w:t>th</w:t>
      </w:r>
      <w:r>
        <w:t xml:space="preserve"> Committee, 1947, Summary Report, p 45, hereafter 6C SR.  This document is at </w:t>
      </w:r>
      <w:hyperlink r:id="rId4" w:history="1">
        <w:r w:rsidRPr="00F90C3B">
          <w:rPr>
            <w:rStyle w:val="Hyperlink"/>
          </w:rPr>
          <w:t>https://digitallibrary.un.org/record/1482480/files/A_C-6_SR-35_59-EN.pdf</w:t>
        </w:r>
      </w:hyperlink>
    </w:p>
  </w:endnote>
  <w:endnote w:id="114">
    <w:p w14:paraId="5412C8D1" w14:textId="77777777" w:rsidR="00E13BCB" w:rsidRDefault="00E13BCB" w:rsidP="00E13BCB">
      <w:pPr>
        <w:pStyle w:val="EndnoteText"/>
      </w:pPr>
      <w:r>
        <w:rPr>
          <w:rStyle w:val="EndnoteReference"/>
        </w:rPr>
        <w:endnoteRef/>
      </w:r>
      <w:r>
        <w:t xml:space="preserve"> 6C SR, 46.</w:t>
      </w:r>
    </w:p>
  </w:endnote>
  <w:endnote w:id="115">
    <w:p w14:paraId="6FAEE78B" w14:textId="77777777" w:rsidR="00E13BCB" w:rsidRDefault="00E13BCB" w:rsidP="00E13BCB">
      <w:pPr>
        <w:pStyle w:val="EndnoteText"/>
      </w:pPr>
      <w:r>
        <w:rPr>
          <w:rStyle w:val="EndnoteReference"/>
        </w:rPr>
        <w:endnoteRef/>
      </w:r>
      <w:r>
        <w:t xml:space="preserve"> </w:t>
      </w:r>
      <w:r w:rsidRPr="00BC4611">
        <w:t>Lester H. Woolsey, Peace with Justice--A Commentary, 51 Am</w:t>
      </w:r>
      <w:r>
        <w:t>erican</w:t>
      </w:r>
      <w:r w:rsidRPr="00BC4611">
        <w:t xml:space="preserve"> Soc</w:t>
      </w:r>
      <w:r>
        <w:t>iet</w:t>
      </w:r>
      <w:r w:rsidRPr="00BC4611">
        <w:t>y</w:t>
      </w:r>
      <w:r>
        <w:t xml:space="preserve"> of </w:t>
      </w:r>
      <w:r w:rsidRPr="00BC4611">
        <w:t>Int</w:t>
      </w:r>
      <w:r>
        <w:t>ernationa</w:t>
      </w:r>
      <w:r w:rsidRPr="00BC4611">
        <w:t>l L</w:t>
      </w:r>
      <w:r>
        <w:t>aw</w:t>
      </w:r>
      <w:r w:rsidRPr="00BC4611">
        <w:t xml:space="preserve"> Proc. 57 (1957)</w:t>
      </w:r>
      <w:r>
        <w:t xml:space="preserve">, 64 quotes Judge Jackson (of the US Supreme Court) in 1945: </w:t>
      </w:r>
      <w:r w:rsidRPr="00BC4611">
        <w:t>"</w:t>
      </w:r>
      <w:r>
        <w:t>’</w:t>
      </w:r>
      <w:r w:rsidRPr="00BC4611">
        <w:t>the World Court's jurisdiction should be confined to  matters really justicable,</w:t>
      </w:r>
      <w:r>
        <w:t>’</w:t>
      </w:r>
      <w:r w:rsidRPr="00BC4611">
        <w:t xml:space="preserve"> and should not include </w:t>
      </w:r>
      <w:r>
        <w:t>‘</w:t>
      </w:r>
      <w:r w:rsidRPr="00BC4611">
        <w:t>cases which are  really  political in their nature and require to be dealt with by means of a political  decision and not by reference to a court of law.</w:t>
      </w:r>
      <w:r>
        <w:t>’</w:t>
      </w:r>
      <w:r w:rsidRPr="00BC4611">
        <w:t>"</w:t>
      </w:r>
      <w:r>
        <w:t xml:space="preserve">   There are other quotes in the article to support this notion.  It must at least in part be a reaction to the failures of the Permanent International Court of Justice which did take up political matters and was swamped and ineffectual.</w:t>
      </w:r>
    </w:p>
  </w:endnote>
  <w:endnote w:id="116">
    <w:p w14:paraId="23F5B5BC" w14:textId="77777777" w:rsidR="00E13BCB" w:rsidRDefault="00E13BCB" w:rsidP="00E13BCB">
      <w:pPr>
        <w:pStyle w:val="EndnoteText"/>
      </w:pPr>
      <w:r>
        <w:rPr>
          <w:rStyle w:val="EndnoteReference"/>
        </w:rPr>
        <w:endnoteRef/>
      </w:r>
      <w:r>
        <w:t xml:space="preserve"> </w:t>
      </w:r>
      <w:r w:rsidRPr="006B0505">
        <w:t xml:space="preserve">Rosenne, </w:t>
      </w:r>
      <w:r>
        <w:t>“</w:t>
      </w:r>
      <w:r w:rsidRPr="006B0505">
        <w:t>Directions</w:t>
      </w:r>
      <w:r>
        <w:t>”, 45-47 is the section on the court.  On 46, he has: “</w:t>
      </w:r>
      <w:r w:rsidRPr="006B0505">
        <w:t xml:space="preserve"> It  is an  elementary  principle  of  the law of  the Court that the consent of the parties, whether expressed formally or in some informal manner, constitutes the only effective basis for judicial action; and this is as true of the contentious jurisdiction as it is of the advisory competence.</w:t>
      </w:r>
      <w:r>
        <w:t>”</w:t>
      </w:r>
    </w:p>
  </w:endnote>
  <w:endnote w:id="117">
    <w:p w14:paraId="2449B90D" w14:textId="77777777" w:rsidR="00E13BCB" w:rsidRDefault="00E13BCB" w:rsidP="00E13BCB">
      <w:pPr>
        <w:pStyle w:val="EndnoteText"/>
      </w:pPr>
      <w:r>
        <w:rPr>
          <w:rStyle w:val="EndnoteReference"/>
        </w:rPr>
        <w:endnoteRef/>
      </w:r>
      <w:r>
        <w:t xml:space="preserve"> Levine, “The Status”, 486, fn 9 is a discussion of this point, citing the 1950 ICJ advisory opinion on SW Africa that established the GA as having this power.  E. Lauterpacht, “Contemporary Practice”, 515 also discusses the importance of this decision.</w:t>
      </w:r>
    </w:p>
  </w:endnote>
  <w:endnote w:id="118">
    <w:p w14:paraId="3B4CF3B3" w14:textId="77777777" w:rsidR="00E13BCB" w:rsidRDefault="00E13BCB" w:rsidP="00E13BCB">
      <w:pPr>
        <w:pStyle w:val="EndnoteText"/>
      </w:pPr>
      <w:r>
        <w:rPr>
          <w:rStyle w:val="EndnoteReference"/>
        </w:rPr>
        <w:endnoteRef/>
      </w:r>
      <w:r>
        <w:t xml:space="preserve"> </w:t>
      </w:r>
      <w:r w:rsidRPr="00A909CC">
        <w:t>Avi</w:t>
      </w:r>
      <w:r>
        <w:t xml:space="preserve"> </w:t>
      </w:r>
      <w:r w:rsidRPr="00A909CC">
        <w:t xml:space="preserve">Shlaim, </w:t>
      </w:r>
      <w:r w:rsidRPr="00A909CC">
        <w:rPr>
          <w:i/>
        </w:rPr>
        <w:t xml:space="preserve">The Politics of Partition: King Abdullah, the Zionists and Palestine 1921-1951, </w:t>
      </w:r>
      <w:r w:rsidRPr="00A909CC">
        <w:t>(New York, Columbia University Press, 1990)</w:t>
      </w:r>
      <w:r>
        <w:t>, 112 on the meeting between Foreign Minister Bevin, Glubb Pasha and a representative from Amman which finalizes this in Feb of 1948.  There were a number of earlier meetings when this was discussed as well.</w:t>
      </w:r>
    </w:p>
  </w:endnote>
  <w:endnote w:id="119">
    <w:p w14:paraId="122DFAEA" w14:textId="77777777" w:rsidR="00E13BCB" w:rsidRPr="007565D5" w:rsidRDefault="00E13BCB" w:rsidP="00E13BCB">
      <w:pPr>
        <w:pStyle w:val="EndnoteText"/>
      </w:pPr>
      <w:r>
        <w:rPr>
          <w:rStyle w:val="EndnoteReference"/>
        </w:rPr>
        <w:endnoteRef/>
      </w:r>
      <w:r>
        <w:t xml:space="preserve"> Wright, </w:t>
      </w:r>
      <w:r>
        <w:rPr>
          <w:i/>
        </w:rPr>
        <w:t>Mandates,</w:t>
      </w:r>
      <w:r w:rsidRPr="007565D5">
        <w:t xml:space="preserve"> 505, covers the possibility of annexation of a mandate by conquest</w:t>
      </w:r>
      <w:r>
        <w:rPr>
          <w:i/>
        </w:rPr>
        <w:t xml:space="preserve">: </w:t>
      </w:r>
      <w:r w:rsidRPr="007565D5">
        <w:t>“A change of this character</w:t>
      </w:r>
      <w:r>
        <w:t xml:space="preserve"> </w:t>
      </w:r>
      <w:r w:rsidRPr="007565D5">
        <w:t xml:space="preserve">[acquisition through conquest] may, of course, come about with reference to any territory in the world, whether under mandate or not, but the mandate status, sanctioned by all the members of the League, is perhaps less liable than others to such a change.” </w:t>
      </w:r>
      <w:r>
        <w:t xml:space="preserve"> If he is right, this would weaken Transjordan’s claim on the West Bank.</w:t>
      </w:r>
    </w:p>
  </w:endnote>
  <w:endnote w:id="120">
    <w:p w14:paraId="08FF912B" w14:textId="77777777" w:rsidR="00E13BCB" w:rsidRDefault="00E13BCB" w:rsidP="00E13BCB">
      <w:pPr>
        <w:pStyle w:val="EndnoteText"/>
      </w:pPr>
      <w:r>
        <w:rPr>
          <w:rStyle w:val="EndnoteReference"/>
        </w:rPr>
        <w:endnoteRef/>
      </w:r>
      <w:r>
        <w:t xml:space="preserve"> Quote and date from </w:t>
      </w:r>
      <w:r w:rsidRPr="00D81023">
        <w:t xml:space="preserve">Meron Benvenisti, translated by Maxine Nunn, </w:t>
      </w:r>
      <w:r w:rsidRPr="00D81023">
        <w:rPr>
          <w:i/>
        </w:rPr>
        <w:t xml:space="preserve">City of Stone: The Hidden History of Jerusalem, </w:t>
      </w:r>
      <w:r w:rsidRPr="00D81023">
        <w:t>Berkley: University of California Press, 1996</w:t>
      </w:r>
      <w:r>
        <w:t>, 27-8.</w:t>
      </w:r>
    </w:p>
  </w:endnote>
  <w:endnote w:id="121">
    <w:p w14:paraId="4F70CDE6" w14:textId="77777777" w:rsidR="00E13BCB" w:rsidRDefault="00E13BCB" w:rsidP="00E13BCB">
      <w:pPr>
        <w:pStyle w:val="EndnoteText"/>
      </w:pPr>
      <w:r>
        <w:rPr>
          <w:rStyle w:val="EndnoteReference"/>
        </w:rPr>
        <w:endnoteRef/>
      </w:r>
      <w:r>
        <w:t xml:space="preserve"> There is even ambiguity in this date.  </w:t>
      </w:r>
      <w:r w:rsidRPr="008E28AE">
        <w:t xml:space="preserve">Paul Mohn, </w:t>
      </w:r>
      <w:r>
        <w:t>“</w:t>
      </w:r>
      <w:r w:rsidRPr="008E28AE">
        <w:t>Jerusalem and the United Nations</w:t>
      </w:r>
      <w:r>
        <w:t>”</w:t>
      </w:r>
      <w:r w:rsidRPr="008E28AE">
        <w:t xml:space="preserve"> , 28 Int'l Conciliation 425 (1950)</w:t>
      </w:r>
      <w:r>
        <w:t>, 471, “</w:t>
      </w:r>
      <w:r w:rsidRPr="008E28AE">
        <w:t>In December 1949, shortly after the adoption of the Assembly resolution, the Hashemite Kingdom of Jordan had formally incorporated the parts of Palestine under its occupation, including Jerusalem.</w:t>
      </w:r>
      <w:r>
        <w:t xml:space="preserve">”  As Mohn was a Swedish diplomat who served on UNSCOP and then on the staffs of Mediators Bernadotte and Bunche, this date should be taken seriously and must have some basis.  </w:t>
      </w:r>
    </w:p>
  </w:endnote>
  <w:endnote w:id="122">
    <w:p w14:paraId="3597E1FF" w14:textId="77777777" w:rsidR="00E13BCB" w:rsidRDefault="00E13BCB" w:rsidP="00E13BCB">
      <w:pPr>
        <w:pStyle w:val="EndnoteText"/>
      </w:pPr>
      <w:r>
        <w:rPr>
          <w:rStyle w:val="EndnoteReference"/>
        </w:rPr>
        <w:endnoteRef/>
      </w:r>
      <w:r>
        <w:t xml:space="preserve"> All the dates in this section are from </w:t>
      </w:r>
      <w:r w:rsidRPr="006369B0">
        <w:t>Hussein</w:t>
      </w:r>
      <w:r>
        <w:t xml:space="preserve"> </w:t>
      </w:r>
      <w:r w:rsidRPr="006369B0">
        <w:t xml:space="preserve">Hassouna, </w:t>
      </w:r>
      <w:r w:rsidRPr="006369B0">
        <w:rPr>
          <w:i/>
        </w:rPr>
        <w:t xml:space="preserve">The League of Arab States and Regional Disputes: </w:t>
      </w:r>
      <w:r>
        <w:rPr>
          <w:i/>
        </w:rPr>
        <w:t>A</w:t>
      </w:r>
      <w:r w:rsidRPr="006369B0">
        <w:rPr>
          <w:i/>
        </w:rPr>
        <w:t xml:space="preserve"> Study of M</w:t>
      </w:r>
      <w:r>
        <w:rPr>
          <w:i/>
        </w:rPr>
        <w:t xml:space="preserve">iddle </w:t>
      </w:r>
      <w:r w:rsidRPr="006369B0">
        <w:rPr>
          <w:i/>
        </w:rPr>
        <w:t>E</w:t>
      </w:r>
      <w:r>
        <w:rPr>
          <w:i/>
        </w:rPr>
        <w:t>ast</w:t>
      </w:r>
      <w:r w:rsidRPr="006369B0">
        <w:rPr>
          <w:i/>
        </w:rPr>
        <w:t xml:space="preserve"> Conflicts, </w:t>
      </w:r>
      <w:r w:rsidRPr="006369B0">
        <w:t>Dobbs Ferry, NY: Oceana Publications, 1975</w:t>
      </w:r>
      <w:r>
        <w:t xml:space="preserve">, 33-42.  The law abolishing mention of the different sections is from Nevo, </w:t>
      </w:r>
      <w:r>
        <w:rPr>
          <w:i/>
        </w:rPr>
        <w:t xml:space="preserve">King Abdallah, </w:t>
      </w:r>
      <w:r>
        <w:t xml:space="preserve">197. Arab League documents are in </w:t>
      </w:r>
      <w:r w:rsidRPr="006369B0">
        <w:t>Muhammad</w:t>
      </w:r>
      <w:r>
        <w:t xml:space="preserve"> </w:t>
      </w:r>
      <w:r w:rsidRPr="006369B0">
        <w:t xml:space="preserve">Khalil, </w:t>
      </w:r>
      <w:r w:rsidRPr="006369B0">
        <w:rPr>
          <w:i/>
        </w:rPr>
        <w:t xml:space="preserve">The Arab States and the Arab League: A Documentary Record, Vol. II International Affairs, </w:t>
      </w:r>
      <w:r w:rsidRPr="006369B0">
        <w:t>Beirut: Khayats, 1962</w:t>
      </w:r>
      <w:r>
        <w:t>.</w:t>
      </w:r>
    </w:p>
  </w:endnote>
  <w:endnote w:id="123">
    <w:p w14:paraId="1EC5CDA1" w14:textId="77777777" w:rsidR="00E13BCB" w:rsidRPr="000310F3" w:rsidRDefault="00E13BCB" w:rsidP="00E13BCB">
      <w:pPr>
        <w:pStyle w:val="EndnoteText"/>
      </w:pPr>
      <w:r>
        <w:rPr>
          <w:rStyle w:val="EndnoteReference"/>
        </w:rPr>
        <w:endnoteRef/>
      </w:r>
      <w:r>
        <w:t xml:space="preserve"> Khalil, </w:t>
      </w:r>
      <w:r>
        <w:rPr>
          <w:i/>
        </w:rPr>
        <w:t xml:space="preserve">Documentary Record, </w:t>
      </w:r>
      <w:r>
        <w:t xml:space="preserve">166, resolutions 85 and 86 of 13 April 1950.  Res 83 is paired with 86. </w:t>
      </w:r>
    </w:p>
  </w:endnote>
  <w:endnote w:id="124">
    <w:p w14:paraId="256E52BC" w14:textId="77777777" w:rsidR="00E13BCB" w:rsidRPr="00646C49" w:rsidRDefault="00E13BCB" w:rsidP="00E13BCB">
      <w:pPr>
        <w:pStyle w:val="EndnoteText"/>
      </w:pPr>
      <w:r>
        <w:rPr>
          <w:rStyle w:val="EndnoteReference"/>
        </w:rPr>
        <w:endnoteRef/>
      </w:r>
      <w:r>
        <w:t xml:space="preserve"> </w:t>
      </w:r>
      <w:r>
        <w:rPr>
          <w:i/>
        </w:rPr>
        <w:t xml:space="preserve">World Today, </w:t>
      </w:r>
      <w:r>
        <w:t xml:space="preserve">“The Arab League”, 195 notes that the act of union of the two banks of the Jordan already made the union reversable if Palestine were to be liberated, so this was largely redundant, and the real motives were inter-Arab politics.  </w:t>
      </w:r>
    </w:p>
  </w:endnote>
  <w:endnote w:id="125">
    <w:p w14:paraId="1468C772" w14:textId="77777777" w:rsidR="00E13BCB" w:rsidRPr="00DC1F7F" w:rsidRDefault="00E13BCB" w:rsidP="00E13BCB">
      <w:pPr>
        <w:pStyle w:val="EndnoteText"/>
      </w:pPr>
      <w:r>
        <w:rPr>
          <w:rStyle w:val="EndnoteReference"/>
        </w:rPr>
        <w:endnoteRef/>
      </w:r>
      <w:r>
        <w:t xml:space="preserve"> St Korowicz, </w:t>
      </w:r>
      <w:r>
        <w:rPr>
          <w:i/>
        </w:rPr>
        <w:t xml:space="preserve">Introduction, </w:t>
      </w:r>
      <w:r>
        <w:t xml:space="preserve">23 is his basic definition of sovereignty: </w:t>
      </w:r>
      <w:r w:rsidRPr="00DC1F7F">
        <w:t>“Sovereignty of a State is its supreme power over its territory and inhabitants, as well as its independence of any external authority.”</w:t>
      </w:r>
      <w:r>
        <w:t xml:space="preserve">  He expands on this, 86:</w:t>
      </w:r>
      <w:r w:rsidRPr="00DC1F7F">
        <w:rPr>
          <w:sz w:val="28"/>
          <w:szCs w:val="28"/>
        </w:rPr>
        <w:t xml:space="preserve"> </w:t>
      </w:r>
      <w:r w:rsidRPr="00DC1F7F">
        <w:t xml:space="preserve"> “This body politic [the State] should consist of a territory, of a population permanently settled in that territory, and of a government being the supreme power over that territory and its inhabitants, and independent of any external authority.  Such is the concept of the State under </w:t>
      </w:r>
      <w:r>
        <w:t>international law</w:t>
      </w:r>
      <w:r w:rsidRPr="00DC1F7F">
        <w:t xml:space="preserve"> as accepted by the dominant theory today.”  </w:t>
      </w:r>
    </w:p>
  </w:endnote>
  <w:endnote w:id="126">
    <w:p w14:paraId="12B82F64" w14:textId="77777777" w:rsidR="00E13BCB" w:rsidRPr="00DC1F7F" w:rsidRDefault="00E13BCB" w:rsidP="00E13BCB">
      <w:pPr>
        <w:pStyle w:val="EndnoteText"/>
      </w:pPr>
      <w:r>
        <w:rPr>
          <w:rStyle w:val="EndnoteReference"/>
        </w:rPr>
        <w:endnoteRef/>
      </w:r>
      <w:r>
        <w:t xml:space="preserve"> St Korowicz, </w:t>
      </w:r>
      <w:r>
        <w:rPr>
          <w:i/>
        </w:rPr>
        <w:t xml:space="preserve">Introduction, </w:t>
      </w:r>
      <w:r>
        <w:t xml:space="preserve">323, is utterly clear about this: </w:t>
      </w:r>
      <w:r w:rsidRPr="00DC1F7F">
        <w:t>“A nation as such is not a subject of any law and, therefore, may not have any rights under any law.”</w:t>
      </w:r>
      <w:r>
        <w:t xml:space="preserve">  Further, he is clear about the corrosive effects of recognizing a nation, 318: </w:t>
      </w:r>
      <w:r w:rsidRPr="00DC1F7F">
        <w:t>“It is easy to see that the whole legal concept of the State and of citizenship as worked out throughout the centuries would be destroyed if the principal of the primacy of the nation over the State and of nationality over State were accepted as a rule of the internal organization of a State as well as of international relations.”</w:t>
      </w:r>
      <w:r>
        <w:t xml:space="preserve">  We can take it as a measure of the rapid evolution of international law in just 30 years when we compare the above with </w:t>
      </w:r>
      <w:r w:rsidRPr="00A11B2A">
        <w:t>Quincy</w:t>
      </w:r>
      <w:r>
        <w:t xml:space="preserve"> </w:t>
      </w:r>
      <w:r w:rsidRPr="00A11B2A">
        <w:t xml:space="preserve">Wright, </w:t>
      </w:r>
      <w:r w:rsidRPr="00A11B2A">
        <w:rPr>
          <w:i/>
          <w:iCs/>
        </w:rPr>
        <w:t>The American Journal of International Law</w:t>
      </w:r>
      <w:r w:rsidRPr="00A11B2A">
        <w:t xml:space="preserve"> 23, no. 3 (1929): 728-29 review of </w:t>
      </w:r>
      <w:r w:rsidRPr="00A11B2A">
        <w:rPr>
          <w:b/>
        </w:rPr>
        <w:t xml:space="preserve">J. </w:t>
      </w:r>
      <w:r w:rsidRPr="00A11B2A">
        <w:t xml:space="preserve">Stoyanovsky. </w:t>
      </w:r>
      <w:r w:rsidRPr="00A11B2A">
        <w:rPr>
          <w:i/>
        </w:rPr>
        <w:t xml:space="preserve">The Mandate for Palestine. </w:t>
      </w:r>
      <w:r w:rsidRPr="00A11B2A">
        <w:t>New York: Longmans, Green and Co., 1928</w:t>
      </w:r>
      <w:r>
        <w:t>, 728 , which has: “</w:t>
      </w:r>
      <w:r w:rsidRPr="00EB2286">
        <w:t>Perhaps the most original feature of the book is the analysis of the juristic recognition given to the conception of nationality since the war</w:t>
      </w:r>
      <w:r>
        <w:t xml:space="preserve"> [WWI]</w:t>
      </w:r>
      <w:r w:rsidRPr="00EB2286">
        <w:t xml:space="preserve">. Dr. Stoyanovsky believes that the  scope  of  international  law  has  widened  so that now it may be said </w:t>
      </w:r>
      <w:r>
        <w:t>‘</w:t>
      </w:r>
      <w:r w:rsidRPr="00EB2286">
        <w:t>to begin with  nations,  while  previously  it  began with states.</w:t>
      </w:r>
      <w:r>
        <w:t>’”</w:t>
      </w:r>
    </w:p>
  </w:endnote>
  <w:endnote w:id="127">
    <w:p w14:paraId="3EFED40A" w14:textId="77777777" w:rsidR="00E13BCB" w:rsidRDefault="00E13BCB" w:rsidP="00E13BCB">
      <w:pPr>
        <w:pStyle w:val="EndnoteText"/>
      </w:pPr>
      <w:r>
        <w:rPr>
          <w:rStyle w:val="EndnoteReference"/>
        </w:rPr>
        <w:endnoteRef/>
      </w:r>
      <w:r>
        <w:t xml:space="preserve"> Certainly Jordan wanted and needed the aid, but the aid could have funneled through the Jordanian government.  St Korowicz describes just this situation, except without the provisioning of aid, in the way that the LN’s minority rights regime encroached on the sovereignty of the states it was applied to, and what a failure it was.  This is in his section on “disguised interventions” 237-45. A closer look at the costs to Jordanian sovereignty and the state is in an unpublished manuscript available from this author, “Choosing the Hard Path: </w:t>
      </w:r>
      <w:r w:rsidRPr="001E5584">
        <w:t>Understanding How the Palestine Refugees were Separated from All Other Refugees</w:t>
      </w:r>
      <w:r>
        <w:t xml:space="preserve">”. </w:t>
      </w:r>
    </w:p>
  </w:endnote>
  <w:endnote w:id="128">
    <w:p w14:paraId="51194CC3" w14:textId="77777777" w:rsidR="00E13BCB" w:rsidRDefault="00E13BCB" w:rsidP="00E13BCB">
      <w:pPr>
        <w:pStyle w:val="EndnoteText"/>
      </w:pPr>
      <w:r>
        <w:rPr>
          <w:rStyle w:val="EndnoteReference"/>
        </w:rPr>
        <w:endnoteRef/>
      </w:r>
      <w:r w:rsidRPr="00E34746">
        <w:t xml:space="preserve">Lauterpacht, </w:t>
      </w:r>
      <w:r>
        <w:t>“</w:t>
      </w:r>
      <w:r w:rsidRPr="00E34746">
        <w:t xml:space="preserve"> Contemporary Practice</w:t>
      </w:r>
      <w:r>
        <w:t>”,</w:t>
      </w:r>
      <w:r w:rsidRPr="00E34746">
        <w:t xml:space="preserve"> </w:t>
      </w:r>
      <w:r>
        <w:t xml:space="preserve">513-516.  </w:t>
      </w:r>
    </w:p>
  </w:endnote>
  <w:endnote w:id="129">
    <w:p w14:paraId="52A2B978" w14:textId="77777777" w:rsidR="00E13BCB" w:rsidRPr="007D61AB" w:rsidRDefault="00E13BCB" w:rsidP="00E13BCB">
      <w:pPr>
        <w:pStyle w:val="EndnoteText"/>
      </w:pPr>
      <w:r>
        <w:rPr>
          <w:rStyle w:val="EndnoteReference"/>
        </w:rPr>
        <w:endnoteRef/>
      </w:r>
      <w:r>
        <w:t xml:space="preserve"> Lauterpacht, “Contemporary Practice”, 515, is perhaps the key to the article: “</w:t>
      </w:r>
      <w:r w:rsidRPr="009968CE">
        <w:t xml:space="preserve">However, it is this view-that agreement between the General Assembly and the Mandatory Power can alter the status of the territory-which gives rise to  the  difficulty  in  the  present  case. For it will be recalled that no agreement was reached between the United Kingdom and  </w:t>
      </w:r>
      <w:r>
        <w:t>t</w:t>
      </w:r>
      <w:r w:rsidRPr="009968CE">
        <w:t>he  General  Assembly  upon  the  future  of Palestine.</w:t>
      </w:r>
      <w:r>
        <w:t xml:space="preserve">  </w:t>
      </w:r>
      <w:r w:rsidRPr="009968CE">
        <w:t>The United Kingdom declared its intention  to renounce the Mandate and thus, in effect, abandoned to the General</w:t>
      </w:r>
      <w:r>
        <w:t xml:space="preserve"> </w:t>
      </w:r>
      <w:r w:rsidRPr="009968CE">
        <w:t>Assembly the complete disposition of the area. The General Assembly, in its turn, only partially discharged its task.</w:t>
      </w:r>
      <w:r>
        <w:t>”  This analysis puts the UK’s refusal to cooperate with the UN at the center of the sovereignty problem.</w:t>
      </w:r>
    </w:p>
  </w:endnote>
  <w:endnote w:id="130">
    <w:p w14:paraId="47B20842" w14:textId="77777777" w:rsidR="00E13BCB" w:rsidRDefault="00E13BCB" w:rsidP="00E13BCB">
      <w:pPr>
        <w:pStyle w:val="EndnoteText"/>
      </w:pPr>
      <w:r>
        <w:rPr>
          <w:rStyle w:val="EndnoteReference"/>
        </w:rPr>
        <w:endnoteRef/>
      </w:r>
      <w:r>
        <w:t xml:space="preserve"> Lauterpacht, “Contemporary Practice” 516 for both quotes.</w:t>
      </w:r>
    </w:p>
  </w:endnote>
  <w:endnote w:id="131">
    <w:p w14:paraId="13F3B9C0" w14:textId="75E2F72E" w:rsidR="00E13BCB" w:rsidRPr="008977AF" w:rsidRDefault="00E13BCB" w:rsidP="00E13BCB">
      <w:pPr>
        <w:pStyle w:val="EndnoteText"/>
      </w:pPr>
      <w:r>
        <w:rPr>
          <w:rStyle w:val="EndnoteReference"/>
        </w:rPr>
        <w:endnoteRef/>
      </w:r>
      <w:r>
        <w:t xml:space="preserve"> </w:t>
      </w:r>
      <w:r w:rsidRPr="008A3622">
        <w:t>Pablo de</w:t>
      </w:r>
      <w:r>
        <w:t xml:space="preserve"> </w:t>
      </w:r>
      <w:r w:rsidRPr="008A3622">
        <w:t xml:space="preserve">Azcarate, </w:t>
      </w:r>
      <w:r w:rsidRPr="008A3622">
        <w:rPr>
          <w:i/>
          <w:iCs/>
        </w:rPr>
        <w:t xml:space="preserve">Mission in Palestine: 1948-1952, </w:t>
      </w:r>
      <w:r w:rsidRPr="008A3622">
        <w:t xml:space="preserve">translated by Teener Hall, </w:t>
      </w:r>
      <w:r>
        <w:t>(</w:t>
      </w:r>
      <w:r w:rsidRPr="008A3622">
        <w:t>Washington, D. C.</w:t>
      </w:r>
      <w:r>
        <w:t>:</w:t>
      </w:r>
      <w:r w:rsidRPr="008A3622">
        <w:t xml:space="preserve"> The Middle East Institute: 1966</w:t>
      </w:r>
      <w:r>
        <w:t>)</w:t>
      </w:r>
      <w:r w:rsidRPr="008A3622">
        <w:t>.  First published in Spanish in 1953.</w:t>
      </w:r>
      <w:r>
        <w:t xml:space="preserve">  116: </w:t>
      </w:r>
      <w:r w:rsidRPr="00142DD1">
        <w:t>“True, the armistice agreements contained clauses emphasizing the provisional and strictly military character and reserving for future peace negotiations the solution of political and territorial questions pending between the parties; but the unlimited duration of the armistices much reduced the effective value of these reservations and the interested governments rightly foresaw that, with the lapse of time, the demarcation lines traced by the armistices would be converted into real political frontiers.  The guaranteeing of these lines by the three great Western powers in 1950 has done no more than confirm this foresight.”</w:t>
      </w:r>
      <w:r>
        <w:t xml:space="preserve"> And again on 198: </w:t>
      </w:r>
      <w:r w:rsidRPr="00142DD1">
        <w:t xml:space="preserve">”The attitude of the Arab states suffers from the weakness inherent in its inconsistency; for the frontiers they are now claiming are precisely those which they waged, and lost, a war to destroy.  Israel’s attitude has the immense advantage of being able to count on the irresistible tendency of </w:t>
      </w:r>
      <w:proofErr w:type="gramStart"/>
      <w:r w:rsidRPr="00142DD1">
        <w:t xml:space="preserve">all  </w:t>
      </w:r>
      <w:r w:rsidRPr="00142DD1">
        <w:rPr>
          <w:i/>
          <w:iCs/>
        </w:rPr>
        <w:t>de</w:t>
      </w:r>
      <w:proofErr w:type="gramEnd"/>
      <w:r w:rsidRPr="00142DD1">
        <w:rPr>
          <w:i/>
          <w:iCs/>
        </w:rPr>
        <w:t xml:space="preserve"> facto </w:t>
      </w:r>
      <w:r w:rsidRPr="00142DD1">
        <w:t xml:space="preserve">situations to become, with the mere lapse of time, converted into </w:t>
      </w:r>
      <w:r w:rsidRPr="00142DD1">
        <w:rPr>
          <w:i/>
          <w:iCs/>
        </w:rPr>
        <w:t xml:space="preserve">de jure </w:t>
      </w:r>
      <w:r w:rsidRPr="00142DD1">
        <w:t>situations-a transformation that takes place all the more readily if, as has happened in this case, it receives a political and moral reinforcement as powerful as that represented by the guarantee conferred in 1951 by the US, France and England on the demarcation lines established by the armistices.”</w:t>
      </w:r>
      <w:r w:rsidR="008977AF">
        <w:t xml:space="preserve">  He was wrong that </w:t>
      </w:r>
      <w:r w:rsidR="008977AF" w:rsidRPr="008977AF">
        <w:rPr>
          <w:i/>
          <w:iCs/>
        </w:rPr>
        <w:t>de facto</w:t>
      </w:r>
      <w:r w:rsidR="008977AF">
        <w:t xml:space="preserve"> would lead to </w:t>
      </w:r>
      <w:r w:rsidR="008977AF" w:rsidRPr="008977AF">
        <w:rPr>
          <w:i/>
          <w:iCs/>
        </w:rPr>
        <w:t>de jure</w:t>
      </w:r>
      <w:r w:rsidR="008977AF">
        <w:rPr>
          <w:i/>
          <w:iCs/>
        </w:rPr>
        <w:t xml:space="preserve">, </w:t>
      </w:r>
      <w:r w:rsidR="008977AF">
        <w:t xml:space="preserve">thought that is the usual progression of things under the principal </w:t>
      </w:r>
      <w:r w:rsidR="008977AF">
        <w:rPr>
          <w:i/>
          <w:iCs/>
        </w:rPr>
        <w:t xml:space="preserve">ex facto </w:t>
      </w:r>
      <w:proofErr w:type="spellStart"/>
      <w:r w:rsidR="008977AF">
        <w:rPr>
          <w:i/>
          <w:iCs/>
        </w:rPr>
        <w:t>oritur</w:t>
      </w:r>
      <w:proofErr w:type="spellEnd"/>
      <w:r w:rsidR="008977AF">
        <w:rPr>
          <w:i/>
          <w:iCs/>
        </w:rPr>
        <w:t xml:space="preserve"> jus </w:t>
      </w:r>
      <w:r w:rsidR="008977AF">
        <w:t>(from the facts arises the law).  This is, after all, about Israel, and so none of the usual rules apply.</w:t>
      </w:r>
    </w:p>
  </w:endnote>
  <w:endnote w:id="132">
    <w:p w14:paraId="0829B233" w14:textId="77777777" w:rsidR="00E13BCB" w:rsidRDefault="00E13BCB" w:rsidP="00E13BCB">
      <w:pPr>
        <w:pStyle w:val="EndnoteText"/>
      </w:pPr>
      <w:r>
        <w:rPr>
          <w:rStyle w:val="EndnoteReference"/>
        </w:rPr>
        <w:endnoteRef/>
      </w:r>
      <w:r>
        <w:t xml:space="preserve"> </w:t>
      </w:r>
      <w:r w:rsidRPr="00C066E5">
        <w:t>E. M. Thompson, Israel and the Arab states. </w:t>
      </w:r>
      <w:r w:rsidRPr="00C066E5">
        <w:rPr>
          <w:i/>
          <w:iCs/>
        </w:rPr>
        <w:t>Editorial research reports 1952</w:t>
      </w:r>
      <w:r w:rsidRPr="00C066E5">
        <w:t> (Vol. II). Washington, DC: CQ Press</w:t>
      </w:r>
      <w:r>
        <w:t xml:space="preserve">, under the heading “Festering Problem of Refugees from Palestine” simply notes the annexation.  Likewise, </w:t>
      </w:r>
      <w:r w:rsidRPr="000F19A4">
        <w:t xml:space="preserve"> Esmond Wright</w:t>
      </w:r>
      <w:r>
        <w:t>, “</w:t>
      </w:r>
      <w:r w:rsidRPr="000F19A4">
        <w:t>Abdallah's Jordan: 1947-1951</w:t>
      </w:r>
      <w:r>
        <w:t>”,</w:t>
      </w:r>
      <w:r w:rsidRPr="000F19A4">
        <w:t xml:space="preserve"> </w:t>
      </w:r>
      <w:r w:rsidRPr="000F19A4">
        <w:rPr>
          <w:i/>
        </w:rPr>
        <w:t xml:space="preserve">Middle East Journal, </w:t>
      </w:r>
      <w:r w:rsidRPr="000F19A4">
        <w:t>Vol. 5, No. 4 (Autumn, 1951), 439</w:t>
      </w:r>
      <w:r>
        <w:t xml:space="preserve"> calls it an annexation.  </w:t>
      </w:r>
      <w:r w:rsidRPr="000F19A4">
        <w:t>Georgiana G. Stevens, The Jordan River Valley, 31 Int'l Conciliation 227 (1956)</w:t>
      </w:r>
      <w:r>
        <w:t xml:space="preserve">, 244 the same, as does </w:t>
      </w:r>
      <w:r w:rsidRPr="00136602">
        <w:t>Lewis M. Alexander, The Arab-Israeli Boundary Problem, 6 World Pol. 322 (1954)</w:t>
      </w:r>
      <w:r>
        <w:t xml:space="preserve">, </w:t>
      </w:r>
      <w:r w:rsidRPr="00136602">
        <w:t>3</w:t>
      </w:r>
      <w:r>
        <w:t xml:space="preserve">32.  Any Brits in the above list can be forgiven, the rest ought to have known better but probably didn’t mind, given the relative calm under Jordan’s rule.  </w:t>
      </w:r>
    </w:p>
  </w:endnote>
  <w:endnote w:id="133">
    <w:p w14:paraId="42A611E3" w14:textId="77777777" w:rsidR="00E13BCB" w:rsidRDefault="00E13BCB" w:rsidP="00E13BCB">
      <w:pPr>
        <w:pStyle w:val="EndnoteText"/>
      </w:pPr>
      <w:r>
        <w:rPr>
          <w:rStyle w:val="EndnoteReference"/>
        </w:rPr>
        <w:endnoteRef/>
      </w:r>
      <w:r>
        <w:t xml:space="preserve"> </w:t>
      </w:r>
      <w:r w:rsidRPr="00133E06">
        <w:t xml:space="preserve">Charles Malik, </w:t>
      </w:r>
      <w:r>
        <w:t>“</w:t>
      </w:r>
      <w:r w:rsidRPr="00133E06">
        <w:t>The Near East: The Search for Truth</w:t>
      </w:r>
      <w:r>
        <w:t>”</w:t>
      </w:r>
      <w:r w:rsidRPr="00133E06">
        <w:t xml:space="preserve">, 30 </w:t>
      </w:r>
      <w:r w:rsidRPr="00A13150">
        <w:rPr>
          <w:i/>
        </w:rPr>
        <w:t>Foreign Affairs</w:t>
      </w:r>
      <w:r w:rsidRPr="00133E06">
        <w:t xml:space="preserve"> (1952)</w:t>
      </w:r>
      <w:r>
        <w:t>, 237.</w:t>
      </w:r>
    </w:p>
  </w:endnote>
  <w:endnote w:id="134">
    <w:p w14:paraId="7809169D" w14:textId="77777777" w:rsidR="00E13BCB" w:rsidRDefault="00E13BCB" w:rsidP="00E13BCB">
      <w:pPr>
        <w:pStyle w:val="EndnoteText"/>
      </w:pPr>
      <w:r>
        <w:rPr>
          <w:rStyle w:val="EndnoteReference"/>
        </w:rPr>
        <w:endnoteRef/>
      </w:r>
      <w:r>
        <w:t xml:space="preserve"> Because Egypt maintained a military occupation of Gaza, and Israel did the same for the West Bank, perhaps a better analogy is with a Cairene moving to Gaza, but I contend that that situation also wouldn’t raise interest.</w:t>
      </w:r>
    </w:p>
  </w:endnote>
  <w:endnote w:id="135">
    <w:p w14:paraId="0FB58D7C" w14:textId="77777777" w:rsidR="00E13BCB" w:rsidRDefault="00E13BCB" w:rsidP="00E13BCB">
      <w:pPr>
        <w:pStyle w:val="EndnoteText"/>
      </w:pPr>
      <w:r>
        <w:rPr>
          <w:rStyle w:val="EndnoteReference"/>
        </w:rPr>
        <w:endnoteRef/>
      </w:r>
      <w:r w:rsidRPr="00036E43">
        <w:t xml:space="preserve"> </w:t>
      </w:r>
      <w:r>
        <w:t xml:space="preserve">A.L. Munkman, 43 </w:t>
      </w:r>
      <w:r>
        <w:rPr>
          <w:i/>
        </w:rPr>
        <w:t xml:space="preserve">British Yearbook of International Law, </w:t>
      </w:r>
      <w:r>
        <w:t xml:space="preserve">271 (1968-1969) p 306-310, reviewing </w:t>
      </w:r>
      <w:r w:rsidRPr="00036E43">
        <w:t>E</w:t>
      </w:r>
      <w:r>
        <w:t>lihu</w:t>
      </w:r>
      <w:r w:rsidRPr="00036E43">
        <w:t xml:space="preserve"> L</w:t>
      </w:r>
      <w:r>
        <w:t>auterpacht,</w:t>
      </w:r>
      <w:r w:rsidRPr="00036E43">
        <w:t xml:space="preserve"> </w:t>
      </w:r>
      <w:r w:rsidRPr="00036E43">
        <w:rPr>
          <w:i/>
        </w:rPr>
        <w:t>Jerusalem and the Holy Places</w:t>
      </w:r>
      <w:r>
        <w:rPr>
          <w:i/>
        </w:rPr>
        <w:t>,</w:t>
      </w:r>
      <w:r w:rsidRPr="00036E43">
        <w:t xml:space="preserve"> London: The</w:t>
      </w:r>
      <w:r>
        <w:t xml:space="preserve"> </w:t>
      </w:r>
      <w:r w:rsidRPr="00036E43">
        <w:t>Anglo-Israel Association, 1968. 87 pp. ms.</w:t>
      </w:r>
      <w:r>
        <w:t>,</w:t>
      </w:r>
    </w:p>
    <w:p w14:paraId="430178AE" w14:textId="52519C1A" w:rsidR="00E13BCB" w:rsidRDefault="00E13BCB" w:rsidP="00E13BCB">
      <w:pPr>
        <w:pStyle w:val="EndnoteText"/>
      </w:pPr>
      <w:r>
        <w:t xml:space="preserve">I haven’t been able to get a copy of the Lauterpacht, and so must rely on the reviewer to understand what might have been in it.  For a solid argument against Israeli sovereignty, this review is well worth reading.  Much of </w:t>
      </w:r>
      <w:proofErr w:type="spellStart"/>
      <w:r>
        <w:t>Lauterpacht’s</w:t>
      </w:r>
      <w:proofErr w:type="spellEnd"/>
      <w:r>
        <w:t xml:space="preserve"> argument is </w:t>
      </w:r>
      <w:r w:rsidR="008977AF">
        <w:t xml:space="preserve">probably </w:t>
      </w:r>
      <w:r>
        <w:t xml:space="preserve">given in </w:t>
      </w:r>
      <w:r w:rsidRPr="00815FF9">
        <w:t>Julius</w:t>
      </w:r>
      <w:r w:rsidRPr="00815FF9">
        <w:rPr>
          <w:i/>
        </w:rPr>
        <w:t xml:space="preserve"> </w:t>
      </w:r>
      <w:r w:rsidRPr="00815FF9">
        <w:t xml:space="preserve">Stone, </w:t>
      </w:r>
      <w:r w:rsidRPr="00815FF9">
        <w:rPr>
          <w:i/>
        </w:rPr>
        <w:t xml:space="preserve">Israel and Palestine: Assault on the Law of Nations, </w:t>
      </w:r>
      <w:r w:rsidRPr="00815FF9">
        <w:t>(Baltimore: Johns Hopkins University Press, 1981)</w:t>
      </w:r>
      <w:r>
        <w:t xml:space="preserve">.  </w:t>
      </w:r>
    </w:p>
  </w:endnote>
  <w:endnote w:id="136">
    <w:p w14:paraId="2A7F929D" w14:textId="77777777" w:rsidR="00E13BCB" w:rsidRDefault="00E13BCB" w:rsidP="00E13BCB">
      <w:pPr>
        <w:pStyle w:val="EndnoteText"/>
      </w:pPr>
      <w:r>
        <w:rPr>
          <w:rStyle w:val="EndnoteReference"/>
        </w:rPr>
        <w:endnoteRef/>
      </w:r>
      <w:r>
        <w:t xml:space="preserve"> Munkman, “Review”, 309, “</w:t>
      </w:r>
      <w:r>
        <w:rPr>
          <w:w w:val="105"/>
        </w:rPr>
        <w:t>There is really no serious doubt that Jordan validly acquired sovereignty over the West Bank.”</w:t>
      </w:r>
    </w:p>
  </w:endnote>
  <w:endnote w:id="137">
    <w:p w14:paraId="7B285DFC" w14:textId="77777777" w:rsidR="00E13BCB" w:rsidRDefault="00E13BCB" w:rsidP="00E13BCB">
      <w:pPr>
        <w:pStyle w:val="EndnoteText"/>
      </w:pPr>
      <w:r>
        <w:rPr>
          <w:rStyle w:val="EndnoteReference"/>
        </w:rPr>
        <w:endnoteRef/>
      </w:r>
      <w:r>
        <w:t xml:space="preserve"> Rosenne, “Directions”, 47-51 is the historical overview till the end of the 1948 War.  </w:t>
      </w:r>
    </w:p>
  </w:endnote>
  <w:endnote w:id="138">
    <w:p w14:paraId="56AA7B4A" w14:textId="77777777" w:rsidR="00E13BCB" w:rsidRDefault="00E13BCB" w:rsidP="00E13BCB">
      <w:pPr>
        <w:pStyle w:val="EndnoteText"/>
      </w:pPr>
      <w:r>
        <w:rPr>
          <w:rStyle w:val="EndnoteReference"/>
        </w:rPr>
        <w:endnoteRef/>
      </w:r>
      <w:r>
        <w:t xml:space="preserve"> Rosenne, “Directions” 60 has “</w:t>
      </w:r>
      <w:r w:rsidRPr="00E139BE">
        <w:t>If the acquisition of territory by war is inadmissible  as a general  proposition,  it  could be recalled that the United Arab Republic has no title to the Gaza Strip and the</w:t>
      </w:r>
      <w:r>
        <w:t xml:space="preserve"> </w:t>
      </w:r>
      <w:r w:rsidRPr="00E139BE">
        <w:t>Kingdom of Jordan no title to the West Bank and the part of Jerusalem it formerly</w:t>
      </w:r>
      <w:r>
        <w:t xml:space="preserve"> occupied.”  61 has “…</w:t>
      </w:r>
      <w:r w:rsidRPr="00E139BE">
        <w:t xml:space="preserve">nor by itself </w:t>
      </w:r>
      <w:r>
        <w:t xml:space="preserve">[SC Resolution 242] </w:t>
      </w:r>
      <w:r w:rsidRPr="00E139BE">
        <w:t>does it imply the determination of territorial sovereignty over the affected</w:t>
      </w:r>
      <w:r>
        <w:t xml:space="preserve"> areas.”</w:t>
      </w:r>
    </w:p>
  </w:endnote>
  <w:endnote w:id="139">
    <w:p w14:paraId="6548B1B4" w14:textId="77777777" w:rsidR="00E13BCB" w:rsidRDefault="00E13BCB" w:rsidP="00E13BCB">
      <w:pPr>
        <w:pStyle w:val="EndnoteText"/>
      </w:pPr>
      <w:r>
        <w:rPr>
          <w:rStyle w:val="EndnoteReference"/>
        </w:rPr>
        <w:endnoteRef/>
      </w:r>
      <w:r>
        <w:t xml:space="preserve"> Levine, “The Status” 488-89. The full overview is 488-96.</w:t>
      </w:r>
    </w:p>
  </w:endnote>
  <w:endnote w:id="140">
    <w:p w14:paraId="30D62ED8" w14:textId="77777777" w:rsidR="00E13BCB" w:rsidRDefault="00E13BCB" w:rsidP="00E13BCB">
      <w:pPr>
        <w:pStyle w:val="EndnoteText"/>
      </w:pPr>
      <w:r>
        <w:rPr>
          <w:rStyle w:val="EndnoteReference"/>
        </w:rPr>
        <w:endnoteRef/>
      </w:r>
      <w:r>
        <w:t xml:space="preserve"> Levine, “The Status” 491-92.</w:t>
      </w:r>
    </w:p>
  </w:endnote>
  <w:endnote w:id="141">
    <w:p w14:paraId="23CFCFE4" w14:textId="77777777" w:rsidR="00E13BCB" w:rsidRDefault="00E13BCB" w:rsidP="00E13BCB">
      <w:pPr>
        <w:pStyle w:val="EndnoteText"/>
      </w:pPr>
      <w:r>
        <w:rPr>
          <w:rStyle w:val="EndnoteReference"/>
        </w:rPr>
        <w:endnoteRef/>
      </w:r>
      <w:r>
        <w:t xml:space="preserve"> Levine, “The Status” 492: “…</w:t>
      </w:r>
      <w:r w:rsidRPr="0011458B">
        <w:t>the Partition, although a compromise, would have effectuated the objective of self-government for both the Jewish and Arab inhabitants of the area.</w:t>
      </w:r>
      <w:r>
        <w:t>”</w:t>
      </w:r>
    </w:p>
  </w:endnote>
  <w:endnote w:id="142">
    <w:p w14:paraId="766712E0" w14:textId="77777777" w:rsidR="00E13BCB" w:rsidRDefault="00E13BCB" w:rsidP="00E13BCB">
      <w:pPr>
        <w:pStyle w:val="EndnoteText"/>
      </w:pPr>
      <w:r>
        <w:rPr>
          <w:rStyle w:val="EndnoteReference"/>
        </w:rPr>
        <w:endnoteRef/>
      </w:r>
      <w:r>
        <w:t xml:space="preserve"> Levine, “The Status” 492-93, “</w:t>
      </w:r>
      <w:r w:rsidRPr="00965287">
        <w:t>That occupation, characterized as a belligerent occupation under international law,</w:t>
      </w:r>
      <w:r>
        <w:t xml:space="preserve"> </w:t>
      </w:r>
      <w:r w:rsidRPr="00965287">
        <w:t>entitled Jordan to exercise military authority over the</w:t>
      </w:r>
      <w:r>
        <w:t xml:space="preserve"> </w:t>
      </w:r>
      <w:r w:rsidRPr="00965287">
        <w:t>territory, but did not permit Jordan to acquire sovereignty, unless such sovereignty was attained under a treaty of peace or some other recognized method in international law</w:t>
      </w:r>
      <w:r>
        <w:t xml:space="preserve">.” On 494 he dismissses the possibility of </w:t>
      </w:r>
      <w:r>
        <w:rPr>
          <w:i/>
        </w:rPr>
        <w:t xml:space="preserve">de facto </w:t>
      </w:r>
      <w:r>
        <w:t>sovereignty.</w:t>
      </w:r>
    </w:p>
  </w:endnote>
  <w:endnote w:id="143">
    <w:p w14:paraId="6B4C0C4A" w14:textId="77777777" w:rsidR="00E13BCB" w:rsidRDefault="00E13BCB" w:rsidP="00E13BCB">
      <w:pPr>
        <w:pStyle w:val="EndnoteText"/>
      </w:pPr>
      <w:r>
        <w:rPr>
          <w:rStyle w:val="EndnoteReference"/>
        </w:rPr>
        <w:endnoteRef/>
      </w:r>
      <w:r>
        <w:t xml:space="preserve"> Levine, “The Status” the post-1967 options are 494-96.</w:t>
      </w:r>
    </w:p>
  </w:endnote>
  <w:endnote w:id="144">
    <w:p w14:paraId="5F8068E5" w14:textId="77777777" w:rsidR="00E13BCB" w:rsidRDefault="00E13BCB" w:rsidP="00E13BCB">
      <w:pPr>
        <w:pStyle w:val="EndnoteText"/>
      </w:pPr>
      <w:r>
        <w:rPr>
          <w:rStyle w:val="EndnoteReference"/>
        </w:rPr>
        <w:endnoteRef/>
      </w:r>
      <w:r>
        <w:t xml:space="preserve"> Rosenne, “Directions”, 44-5 has ”</w:t>
      </w:r>
      <w:r w:rsidRPr="004F12C1">
        <w:t>A close study of presentations made by Arab spokesmen</w:t>
      </w:r>
      <w:r>
        <w:t xml:space="preserve"> </w:t>
      </w:r>
      <w:r w:rsidRPr="004F12C1">
        <w:t>may lead to the conclusion that very frequently they fall back not on objective and established principles and rules of contemporary international law, but on subjective, vague and, on the whole, discredited theories of natural law and natural justice</w:t>
      </w:r>
      <w:r>
        <w:t xml:space="preserve">…”.  52-3 continues this thinking with an example.  </w:t>
      </w:r>
    </w:p>
  </w:endnote>
  <w:endnote w:id="145">
    <w:p w14:paraId="5C44F653" w14:textId="77777777" w:rsidR="00E13BCB" w:rsidRDefault="00E13BCB" w:rsidP="00E13BCB">
      <w:pPr>
        <w:pStyle w:val="EndnoteText"/>
      </w:pPr>
      <w:r>
        <w:rPr>
          <w:rStyle w:val="EndnoteReference"/>
        </w:rPr>
        <w:endnoteRef/>
      </w:r>
      <w:r>
        <w:t xml:space="preserve"> Malik, “The Near East”; </w:t>
      </w:r>
      <w:r w:rsidRPr="00CF5F56">
        <w:t>George J. Tomeh, Legal Statutes of Arab Refugees, 33</w:t>
      </w:r>
      <w:r>
        <w:t xml:space="preserve"> </w:t>
      </w:r>
      <w:r w:rsidRPr="00CF5F56">
        <w:rPr>
          <w:i/>
        </w:rPr>
        <w:t>Law &amp; Contemporary Problems</w:t>
      </w:r>
      <w:r w:rsidRPr="00CF5F56">
        <w:t>. 110 (1968)</w:t>
      </w:r>
      <w:r>
        <w:t xml:space="preserve">; </w:t>
      </w:r>
      <w:r w:rsidRPr="00CF5F56">
        <w:t xml:space="preserve">Muhammad H. El-Farra, The Role of the United Nations Vis-a-Vis the Palestine Question, 33 </w:t>
      </w:r>
      <w:r w:rsidRPr="00CF5F56">
        <w:rPr>
          <w:i/>
        </w:rPr>
        <w:t>Law &amp; Contemporary Problems.</w:t>
      </w:r>
      <w:r w:rsidRPr="00CF5F56">
        <w:t xml:space="preserve"> 68 (1968)</w:t>
      </w:r>
      <w:r>
        <w:t xml:space="preserve"> all briefly touch on the problem of sovereignty.</w:t>
      </w:r>
    </w:p>
  </w:endnote>
  <w:endnote w:id="146">
    <w:p w14:paraId="5CAAC5E3" w14:textId="77777777" w:rsidR="00E13BCB" w:rsidRDefault="00E13BCB" w:rsidP="00E13BCB">
      <w:pPr>
        <w:pStyle w:val="EndnoteText"/>
      </w:pPr>
      <w:r>
        <w:rPr>
          <w:rStyle w:val="EndnoteReference"/>
        </w:rPr>
        <w:endnoteRef/>
      </w:r>
      <w:r>
        <w:t xml:space="preserve"> Leonard, “The UN”, 688: “To this the Iraqi representative retorted that the defense of Palestine by the Arab states constituted a defense of their national existence...” this argument might only be possible about an unassigned place.  Iraq, after all, is 500 km from Israel.  The US made this argument about S Vietnam and S Korea, but these, too, were  products of unsettled armistices and ambiguous sovereignty that demanded conflict for resolution.  </w:t>
      </w:r>
    </w:p>
  </w:endnote>
  <w:endnote w:id="147">
    <w:p w14:paraId="1E767959" w14:textId="77777777" w:rsidR="00E13BCB" w:rsidRDefault="00E13BCB" w:rsidP="00E13BCB">
      <w:pPr>
        <w:pStyle w:val="EndnoteText"/>
      </w:pPr>
      <w:r>
        <w:rPr>
          <w:rStyle w:val="EndnoteReference"/>
        </w:rPr>
        <w:endnoteRef/>
      </w:r>
      <w:r>
        <w:t xml:space="preserve"> Garrick Hardin, “The Tragedy of the Commons”, </w:t>
      </w:r>
      <w:r>
        <w:rPr>
          <w:i/>
        </w:rPr>
        <w:t xml:space="preserve">Science 162, </w:t>
      </w:r>
      <w:r>
        <w:t>(1968), 1243-1248.</w:t>
      </w:r>
    </w:p>
  </w:endnote>
  <w:endnote w:id="148">
    <w:p w14:paraId="421A03AE" w14:textId="77777777" w:rsidR="00E13BCB" w:rsidRPr="008144FA" w:rsidRDefault="00E13BCB" w:rsidP="00E13BCB">
      <w:pPr>
        <w:pStyle w:val="EndnoteText"/>
      </w:pPr>
      <w:r>
        <w:rPr>
          <w:rStyle w:val="EndnoteReference"/>
        </w:rPr>
        <w:endnoteRef/>
      </w:r>
      <w:r>
        <w:t xml:space="preserve"> Urquhart, </w:t>
      </w:r>
      <w:r>
        <w:rPr>
          <w:i/>
        </w:rPr>
        <w:t xml:space="preserve">Ralph Bunche, </w:t>
      </w:r>
      <w:r>
        <w:t xml:space="preserve">224 has Moshe Dayan, a lead Israeli negotiator at the armistice talks chaired by Bunche commenting on Bunche’s approach: </w:t>
      </w:r>
      <w:r w:rsidRPr="005536C4">
        <w:t>“When the parties failed to agree he could draft a formula so that each could interpret it in his own way.  When I questioned him on this approach, he said the basic aim at the time was to bring an end to the fighting.  Later, when the parties would discover that on certain items they did not get what they expected, they would not renew the war</w:t>
      </w:r>
      <w:r>
        <w:t xml:space="preserve"> on </w:t>
      </w:r>
      <w:r w:rsidRPr="005536C4">
        <w:t>that account, but the realities of life would shape the appropriate arrangements.”</w:t>
      </w:r>
      <w:r>
        <w:t xml:space="preserve">  222 has </w:t>
      </w:r>
      <w:r w:rsidRPr="005536C4">
        <w:t>“In fact, there was some truth in both these assertions, and, as Bunche had intended, each side was free to give its own interpretation of what had happened.”</w:t>
      </w:r>
      <w:r>
        <w:t xml:space="preserve">  Eban, </w:t>
      </w:r>
      <w:r>
        <w:rPr>
          <w:i/>
        </w:rPr>
        <w:t xml:space="preserve">Personal Witness, </w:t>
      </w:r>
      <w:r>
        <w:t xml:space="preserve">188 makes the same point about the armistices.  Perhaps in other parts of the world, with different belligerents, lack of clarity might have furthered a settlement; in this case, it only furthered conflict, as they would and did go to war over the murky parts.  In any case, the armistices didn’t even bring an end to the fighting, as both Egypt and Syria were quick to argue that the existence of an armistice wasn’t incompatible with a state of war.  Rosenne, “Directions”, 52. Azcarate, </w:t>
      </w:r>
      <w:r>
        <w:rPr>
          <w:i/>
          <w:iCs/>
        </w:rPr>
        <w:t xml:space="preserve">Mission, </w:t>
      </w:r>
      <w:r>
        <w:t>114-5, gives his assessment that Bunche was able to work all others to exhaustion, and so they relented, but it made for poor prospects of a long-term stability.</w:t>
      </w:r>
    </w:p>
    <w:p w14:paraId="7B0BF476" w14:textId="77777777" w:rsidR="00E13BCB" w:rsidRPr="00966444" w:rsidRDefault="00E13BCB" w:rsidP="00E13BCB">
      <w:pPr>
        <w:pStyle w:val="EndnoteText"/>
      </w:pPr>
      <w:r>
        <w:t xml:space="preserve">Ofuatey-Kudjoe, </w:t>
      </w:r>
      <w:r>
        <w:rPr>
          <w:i/>
        </w:rPr>
        <w:t xml:space="preserve">Principal, </w:t>
      </w:r>
      <w:r>
        <w:t xml:space="preserve">113, generalizes the notion that accepting fuzzy compromises ensures further conflict: </w:t>
      </w:r>
      <w:r w:rsidRPr="00966444">
        <w:t xml:space="preserve">“In such cases of unsatisfactory compromises, the parties accept because they cannot obtain general approval for their position, and they see the compromise as better than the opponents’ position.  Therefore, they accept the compromise as a </w:t>
      </w:r>
      <w:r w:rsidRPr="00966444">
        <w:rPr>
          <w:i/>
        </w:rPr>
        <w:t>modus operandi</w:t>
      </w:r>
      <w:r w:rsidRPr="00966444">
        <w:t xml:space="preserve"> of some compelling force, and expect other parties to adhere to it in good faith.  In accepting the compromise, however, such unsatisfied parties do not lose sight of their original claim.  Thus, in later encounters, they attempt to obtain general acceptance of their original position, or, for that matter, new claims that seem to them to be called for.”</w:t>
      </w:r>
    </w:p>
  </w:endnote>
  <w:endnote w:id="149">
    <w:p w14:paraId="14AE534C" w14:textId="77777777" w:rsidR="00E13BCB" w:rsidRDefault="00E13BCB" w:rsidP="00E13BCB">
      <w:pPr>
        <w:pStyle w:val="EndnoteText"/>
      </w:pPr>
      <w:r>
        <w:rPr>
          <w:rStyle w:val="EndnoteReference"/>
        </w:rPr>
        <w:endnoteRef/>
      </w:r>
      <w:r>
        <w:t xml:space="preserve"> Leonard, “The UN”, 685: “</w:t>
      </w:r>
      <w:r w:rsidRPr="00827EFE">
        <w:rPr>
          <w:i/>
        </w:rPr>
        <w:t xml:space="preserve">United Kingdom: </w:t>
      </w:r>
      <w:r w:rsidRPr="00827EFE">
        <w:t>Enforcement action under the Charter could only be taken with regard to international peace. The actual ju</w:t>
      </w:r>
      <w:r>
        <w:t>ri</w:t>
      </w:r>
      <w:r w:rsidRPr="00827EFE">
        <w:t>dical status of Palestine presented problems, as did the degree of binding force of the Assembly's recommendation and the definition of an act of aggression and of the</w:t>
      </w:r>
      <w:r>
        <w:t xml:space="preserve"> aggressor.”</w:t>
      </w:r>
    </w:p>
  </w:endnote>
  <w:endnote w:id="150">
    <w:p w14:paraId="7EBE4AF8" w14:textId="77777777" w:rsidR="00E13BCB" w:rsidRDefault="00E13BCB" w:rsidP="00E13BCB">
      <w:pPr>
        <w:pStyle w:val="EndnoteText"/>
      </w:pPr>
      <w:r>
        <w:rPr>
          <w:rStyle w:val="EndnoteReference"/>
        </w:rPr>
        <w:endnoteRef/>
      </w:r>
      <w:r>
        <w:t xml:space="preserve"> </w:t>
      </w:r>
      <w:r w:rsidRPr="00C03B8A">
        <w:t>Avi</w:t>
      </w:r>
      <w:r>
        <w:t xml:space="preserve"> </w:t>
      </w:r>
      <w:r w:rsidRPr="00C03B8A">
        <w:t xml:space="preserve">Shlaim, </w:t>
      </w:r>
      <w:r w:rsidRPr="00C03B8A">
        <w:rPr>
          <w:i/>
        </w:rPr>
        <w:t>Collusion Across the Jordan: King Abdullah, the Zionist Movement, and the Partition of Palestine,</w:t>
      </w:r>
      <w:r w:rsidRPr="00C03B8A">
        <w:t xml:space="preserve"> (New York: Columbia University Press, 1988)</w:t>
      </w:r>
      <w:r>
        <w:t xml:space="preserve">, 483.  The people coming to this conclusion were Sir Knox Helm, UK Minister at Tel Aviv, and Sir Hugh Dow, UK counsel-general in Jerusalem.  On the other hand, the UK was also willing to argue that because soldiers of Arab states were on land that was unclaimed, they were under no obligation to leave it, 1C SR 794.  Ambiguity means that anyone can argue almost anything successfully.   </w:t>
      </w:r>
    </w:p>
  </w:endnote>
  <w:endnote w:id="151">
    <w:p w14:paraId="654F0D6B" w14:textId="77777777" w:rsidR="00E13BCB" w:rsidRDefault="00E13BCB" w:rsidP="00E13BCB">
      <w:pPr>
        <w:pStyle w:val="EndnoteText"/>
      </w:pPr>
      <w:r>
        <w:rPr>
          <w:rStyle w:val="EndnoteReference"/>
        </w:rPr>
        <w:endnoteRef/>
      </w:r>
      <w:r>
        <w:t xml:space="preserve"> 1C SR 761.  Here, he is having it both ways, as Eban had called for a Palestinian state in the space.</w:t>
      </w:r>
    </w:p>
  </w:endnote>
  <w:endnote w:id="152">
    <w:p w14:paraId="24C2AF7E" w14:textId="77777777" w:rsidR="00E13BCB" w:rsidRDefault="00E13BCB" w:rsidP="00E13BCB">
      <w:pPr>
        <w:pStyle w:val="EndnoteText"/>
      </w:pPr>
      <w:r>
        <w:rPr>
          <w:rStyle w:val="EndnoteReference"/>
        </w:rPr>
        <w:endnoteRef/>
      </w:r>
      <w:r>
        <w:t xml:space="preserve"> 1C SR, 825, Liberia.</w:t>
      </w:r>
    </w:p>
  </w:endnote>
  <w:endnote w:id="153">
    <w:p w14:paraId="5BD344A5" w14:textId="77777777" w:rsidR="00E13BCB" w:rsidRDefault="00E13BCB" w:rsidP="00E13BCB">
      <w:pPr>
        <w:pStyle w:val="EndnoteText"/>
      </w:pPr>
      <w:r>
        <w:rPr>
          <w:rStyle w:val="EndnoteReference"/>
        </w:rPr>
        <w:endnoteRef/>
      </w:r>
      <w:r>
        <w:t xml:space="preserve"> Levine, “The Status”, 502, is entirely clear that if Israel is only a belligerent occupant of the West Bank, then it would have no sovereignty that it could confer on Jordan, and so Jordan would still have the same ambiguous status that it had before if it were to accept the territory back from Israel.  It is also possible that this same issue was one of the reasons that Sadat refused Begin’s request that he take Gaza back with the Sinai at the 1977 Camp David Accords. </w:t>
      </w:r>
    </w:p>
  </w:endnote>
  <w:endnote w:id="154">
    <w:p w14:paraId="52FD5FE8" w14:textId="77777777" w:rsidR="00E13BCB" w:rsidRPr="0086520E" w:rsidRDefault="00E13BCB" w:rsidP="00E13BCB">
      <w:pPr>
        <w:pStyle w:val="EndnoteText"/>
        <w:rPr>
          <w:iCs/>
        </w:rPr>
      </w:pPr>
      <w:r>
        <w:rPr>
          <w:rStyle w:val="EndnoteReference"/>
        </w:rPr>
        <w:endnoteRef/>
      </w:r>
      <w:r>
        <w:t xml:space="preserve"> Pedersen, </w:t>
      </w:r>
      <w:r>
        <w:rPr>
          <w:i/>
        </w:rPr>
        <w:t xml:space="preserve">Guardians, </w:t>
      </w:r>
      <w:r>
        <w:t xml:space="preserve">337, sums it up this way: </w:t>
      </w:r>
      <w:r w:rsidRPr="0012603C">
        <w:rPr>
          <w:iCs/>
        </w:rPr>
        <w:t>“For if Britain was not ‘sovereign’ in (say) Tanganyika, and if it took the obligations of trusteeship seriously, how could transferring African populations to Germany be a private, or even generous, act?”</w:t>
      </w:r>
    </w:p>
  </w:endnote>
  <w:endnote w:id="155">
    <w:p w14:paraId="5D552BAF" w14:textId="77777777" w:rsidR="00E13BCB" w:rsidRDefault="00E13BCB" w:rsidP="00E13BCB">
      <w:pPr>
        <w:pStyle w:val="EndnoteText"/>
      </w:pPr>
      <w:r>
        <w:rPr>
          <w:rStyle w:val="EndnoteReference"/>
        </w:rPr>
        <w:endnoteRef/>
      </w:r>
      <w:r>
        <w:t xml:space="preserve"> Rubinstein, “Status”, 63-65 is the full story, the quote is from 64.  On 65 he details what he thinks are the problems with the government’s arguments.  </w:t>
      </w:r>
      <w:r w:rsidRPr="00B46667">
        <w:t>Allen</w:t>
      </w:r>
      <w:r>
        <w:t xml:space="preserve"> </w:t>
      </w:r>
      <w:r w:rsidRPr="00B46667">
        <w:t xml:space="preserve">Gerson, </w:t>
      </w:r>
      <w:r w:rsidRPr="00B46667">
        <w:rPr>
          <w:i/>
        </w:rPr>
        <w:t>Israel, the West Bank and International Law</w:t>
      </w:r>
      <w:r w:rsidRPr="00B46667">
        <w:t>, (NY, NY: Frank Cass, 1978)</w:t>
      </w:r>
      <w:r>
        <w:t xml:space="preserve">, 82, agrees that it is questionable if the basics exist for the applicability of Geneva.  </w:t>
      </w:r>
    </w:p>
  </w:endnote>
  <w:endnote w:id="156">
    <w:p w14:paraId="2779C1B3" w14:textId="77777777" w:rsidR="00E13BCB" w:rsidRPr="00636019" w:rsidRDefault="00E13BCB" w:rsidP="00E13BCB">
      <w:pPr>
        <w:pStyle w:val="EndnoteText"/>
      </w:pPr>
      <w:r>
        <w:rPr>
          <w:rStyle w:val="EndnoteReference"/>
        </w:rPr>
        <w:endnoteRef/>
      </w:r>
      <w:r>
        <w:t xml:space="preserve"> Hall, </w:t>
      </w:r>
      <w:r>
        <w:rPr>
          <w:i/>
        </w:rPr>
        <w:t xml:space="preserve">Mandates, </w:t>
      </w:r>
      <w:r>
        <w:t xml:space="preserve">73.  In its context, the crack about “left in the kitty” should be seen as an aggressive judgement on the US and UK.  It was they who had forced France to accept mandates as a compromise.  France wanted to use the time-honored system of simply taking the defeated nations territory as spoils of war with full, clear sovereignty.  </w:t>
      </w:r>
    </w:p>
  </w:endnote>
  <w:endnote w:id="157">
    <w:p w14:paraId="0508C3CD" w14:textId="77777777" w:rsidR="00E13BCB" w:rsidRPr="0078126C" w:rsidRDefault="00E13BCB" w:rsidP="00E13BCB">
      <w:pPr>
        <w:pStyle w:val="EndnoteText"/>
      </w:pPr>
      <w:r>
        <w:rPr>
          <w:rStyle w:val="EndnoteReference"/>
        </w:rPr>
        <w:endnoteRef/>
      </w:r>
      <w:r>
        <w:t xml:space="preserve"> Hall, </w:t>
      </w:r>
      <w:r>
        <w:rPr>
          <w:i/>
        </w:rPr>
        <w:t xml:space="preserve">Mandates, </w:t>
      </w:r>
      <w:r>
        <w:t>76.  The section ‘Uncertainty of Mandate Status’ is 72-80.</w:t>
      </w:r>
    </w:p>
  </w:endnote>
  <w:endnote w:id="158">
    <w:p w14:paraId="3C4C45CC" w14:textId="77777777" w:rsidR="00E13BCB" w:rsidRDefault="00E13BCB" w:rsidP="00E13BCB">
      <w:pPr>
        <w:pStyle w:val="EndnoteText"/>
      </w:pPr>
      <w:r>
        <w:rPr>
          <w:rStyle w:val="EndnoteReference"/>
        </w:rPr>
        <w:endnoteRef/>
      </w:r>
      <w:r>
        <w:t xml:space="preserve"> </w:t>
      </w:r>
      <w:r w:rsidRPr="00B46667">
        <w:t xml:space="preserve">Gerson, </w:t>
      </w:r>
      <w:r w:rsidRPr="00B46667">
        <w:rPr>
          <w:i/>
        </w:rPr>
        <w:t xml:space="preserve">Israel, </w:t>
      </w:r>
      <w:r>
        <w:t xml:space="preserve">79, has ”Until such time as Arab Palestinian sovereignty might be restored, Jordan was to promote the development of Palestinian self-rule in the West Bank.  At least, it was not to hinder its development.  Jordan, however, pursued the opposite course.  Its ruling Hashemite Bedouin elite channeled economic development to the East Bank at the expense of the West Bank.”  Gerson doesn’t acknowledge that perhaps conditions for investment were also better in the one than the other.  </w:t>
      </w:r>
    </w:p>
  </w:endnote>
  <w:endnote w:id="159">
    <w:p w14:paraId="551E7109" w14:textId="77777777" w:rsidR="00E13BCB" w:rsidRDefault="00E13BCB" w:rsidP="00E13BCB">
      <w:pPr>
        <w:pStyle w:val="EndnoteText"/>
      </w:pPr>
      <w:r>
        <w:rPr>
          <w:rStyle w:val="EndnoteReference"/>
        </w:rPr>
        <w:endnoteRef/>
      </w:r>
      <w:r>
        <w:t xml:space="preserve"> </w:t>
      </w:r>
      <w:r w:rsidRPr="00EE4FCD">
        <w:t>Don</w:t>
      </w:r>
      <w:r>
        <w:t xml:space="preserve"> </w:t>
      </w:r>
      <w:r w:rsidRPr="00EE4FCD">
        <w:t xml:space="preserve">Peretz, </w:t>
      </w:r>
      <w:r w:rsidRPr="00EE4FCD">
        <w:rPr>
          <w:i/>
        </w:rPr>
        <w:t>Palestinians, Refugees, and the Middle East Peace Process</w:t>
      </w:r>
      <w:r w:rsidRPr="00EE4FCD">
        <w:t xml:space="preserve">, </w:t>
      </w:r>
      <w:r>
        <w:t>(</w:t>
      </w:r>
      <w:r w:rsidRPr="00EE4FCD">
        <w:t>Washington, DC: United States Institute of Peace Press, 1993</w:t>
      </w:r>
      <w:r>
        <w:t xml:space="preserve">), 98.  </w:t>
      </w:r>
      <w:r w:rsidRPr="0079173C">
        <w:t xml:space="preserve">Benjamin N. Schiff, </w:t>
      </w:r>
      <w:r w:rsidRPr="0079173C">
        <w:rPr>
          <w:i/>
        </w:rPr>
        <w:t xml:space="preserve">Refugees Unto the Third Generation: UN Aid to Palestinians, </w:t>
      </w:r>
      <w:r w:rsidRPr="0079173C">
        <w:t>Syracuse: Syracuse University Press, 1995</w:t>
      </w:r>
      <w:r>
        <w:t xml:space="preserve"> notes that the American Friends Service , responsible for some Palestine refugees in the very first years, already noted this problem to UNRWA:</w:t>
      </w:r>
      <w:r w:rsidRPr="0079173C">
        <w:t xml:space="preserve"> “…afforestation is useless without adequate gov</w:t>
      </w:r>
      <w:r>
        <w:t>ernmen</w:t>
      </w:r>
      <w:r w:rsidRPr="0079173C">
        <w:t>t control.”</w:t>
      </w:r>
    </w:p>
  </w:endnote>
  <w:endnote w:id="160">
    <w:p w14:paraId="0BE33C84" w14:textId="77777777" w:rsidR="00E13BCB" w:rsidRPr="00636019" w:rsidRDefault="00E13BCB" w:rsidP="00E13BCB">
      <w:pPr>
        <w:pStyle w:val="EndnoteText"/>
      </w:pPr>
      <w:r>
        <w:rPr>
          <w:rStyle w:val="EndnoteReference"/>
        </w:rPr>
        <w:endnoteRef/>
      </w:r>
      <w:r>
        <w:t xml:space="preserve"> Pedersen, </w:t>
      </w:r>
      <w:r>
        <w:rPr>
          <w:i/>
        </w:rPr>
        <w:t xml:space="preserve">Guardians, </w:t>
      </w:r>
      <w:r>
        <w:t xml:space="preserve">234.  Hall, “The International Frontier”, 45, </w:t>
      </w:r>
      <w:r w:rsidRPr="009A5F76">
        <w:t xml:space="preserve">“Uncertainty as to the legal and political status of an area, even where a single power is </w:t>
      </w:r>
      <w:r w:rsidRPr="009A5F76">
        <w:rPr>
          <w:i/>
        </w:rPr>
        <w:t xml:space="preserve">de facto </w:t>
      </w:r>
      <w:r w:rsidRPr="009A5F76">
        <w:t>supreme as in a mandated area, has proved a constant deterrent to investment and development.”</w:t>
      </w:r>
      <w:r>
        <w:t xml:space="preserve">  Hall, </w:t>
      </w:r>
      <w:r>
        <w:rPr>
          <w:i/>
        </w:rPr>
        <w:t xml:space="preserve">Mandates, </w:t>
      </w:r>
      <w:r>
        <w:t>75, continues this thought.</w:t>
      </w:r>
    </w:p>
  </w:endnote>
  <w:endnote w:id="161">
    <w:p w14:paraId="27954A0E" w14:textId="77777777" w:rsidR="00E13BCB" w:rsidRPr="00047B93" w:rsidRDefault="00E13BCB" w:rsidP="00E13BCB">
      <w:pPr>
        <w:pStyle w:val="EndnoteText"/>
      </w:pPr>
      <w:r>
        <w:rPr>
          <w:rStyle w:val="EndnoteReference"/>
        </w:rPr>
        <w:endnoteRef/>
      </w:r>
      <w:r>
        <w:t xml:space="preserve"> </w:t>
      </w:r>
      <w:r w:rsidRPr="008D32B3">
        <w:t>Eli</w:t>
      </w:r>
      <w:r>
        <w:t xml:space="preserve"> </w:t>
      </w:r>
      <w:r w:rsidRPr="008D32B3">
        <w:t xml:space="preserve">Berman, </w:t>
      </w:r>
      <w:r w:rsidRPr="008D32B3">
        <w:rPr>
          <w:i/>
        </w:rPr>
        <w:t xml:space="preserve">Radical, Religious, and Violent: The New Economics of Terrorism, </w:t>
      </w:r>
      <w:r w:rsidRPr="008D32B3">
        <w:t>Cambridge, Mass: The MIT Press, 2009</w:t>
      </w:r>
      <w:r>
        <w:t xml:space="preserve">, 189: “Western businesspeople often look at a place with high unemployment and low wages, like Iraq, Afghanistan, South Lebanon, or Palestine and immediately think of ways to attract foreign investment and create jobs.  That approach misses a basic rule of economics: investment chases profit opportunities like air rushes into a vacuum.  If investment is absent, we should first figure out why investors are not rushing in.  The problem is often not a lack of local funds.  In Palestine during the second Intifada, for example, the local population had about $3 billion in savings; these financial assets were sitting idle in banks, not locally invested or invested abroad.   If </w:t>
      </w:r>
      <w:r>
        <w:rPr>
          <w:i/>
        </w:rPr>
        <w:t xml:space="preserve">local </w:t>
      </w:r>
      <w:r>
        <w:t xml:space="preserve">entrepreneurs-who understand local conditions best-are not investing, foreigners should be asking why.  The problem might be the physical risk to assets, it may be the lack of reliable infrastructure, it may be a failed legal system…”  One could go a step further and say that the international community has overinvested in the Palestinian problem from the start.  Palestinians got good educations from UNRWA, better than non-refugees were getting, but because Jordan itself wasn’t generally developing, there were no jobs for their skills.  Well-educated Palestinians without job prospects and no particular allegiance to Jordan as their own nation went throughout the Arab world and worked to develop other countries.  Thus, the international community subsidized many states, like the Gulf states, that didn’t need it, while Jordan, with few factories and an uneven development in part because the funds it was getting were only for Palestinian refugees, saw a brain-drain of citizens.  </w:t>
      </w:r>
    </w:p>
  </w:endnote>
  <w:endnote w:id="162">
    <w:p w14:paraId="2546B41C" w14:textId="77777777" w:rsidR="00E13BCB" w:rsidRDefault="00E13BCB" w:rsidP="00E13BCB">
      <w:pPr>
        <w:pStyle w:val="EndnoteText"/>
      </w:pPr>
      <w:r>
        <w:rPr>
          <w:rStyle w:val="EndnoteReference"/>
        </w:rPr>
        <w:endnoteRef/>
      </w:r>
      <w:r>
        <w:t xml:space="preserve"> The first global development funds for the under-developed world, called the point 4 program, were announced by President Truman in his inaugural address of January 1949.  While not designed to do the same things as the Marshall Plan, there were development funds here and it included the Arab World.  </w:t>
      </w:r>
    </w:p>
  </w:endnote>
  <w:endnote w:id="163">
    <w:p w14:paraId="2478526B" w14:textId="77777777" w:rsidR="00E13BCB" w:rsidRPr="00D33286" w:rsidRDefault="00E13BCB" w:rsidP="00E13BCB">
      <w:pPr>
        <w:pStyle w:val="EndnoteText"/>
      </w:pPr>
      <w:r>
        <w:rPr>
          <w:rStyle w:val="EndnoteReference"/>
        </w:rPr>
        <w:endnoteRef/>
      </w:r>
      <w:r>
        <w:t xml:space="preserve"> Wright, </w:t>
      </w:r>
      <w:r>
        <w:rPr>
          <w:i/>
        </w:rPr>
        <w:t xml:space="preserve">Mandates, </w:t>
      </w:r>
      <w:r>
        <w:t xml:space="preserve">531.  Hall, “The International Frontier,” 61-2 has roughly the same thought: </w:t>
      </w:r>
      <w:r w:rsidRPr="00150BD5">
        <w:t>“Instability-if not the present degree of deadlock and basic antagonism between the powers-has always been a characteristic of the international frontier</w:t>
      </w:r>
      <w:r>
        <w:t xml:space="preserve"> [mandates and like forms]</w:t>
      </w:r>
      <w:r w:rsidRPr="00150BD5">
        <w:t>.”</w:t>
      </w:r>
    </w:p>
  </w:endnote>
  <w:endnote w:id="164">
    <w:p w14:paraId="36FE87D9" w14:textId="77777777" w:rsidR="00E13BCB" w:rsidRPr="00B67047" w:rsidRDefault="00E13BCB" w:rsidP="00E13BCB">
      <w:pPr>
        <w:pStyle w:val="EndnoteText"/>
      </w:pPr>
      <w:r>
        <w:rPr>
          <w:rStyle w:val="EndnoteReference"/>
        </w:rPr>
        <w:endnoteRef/>
      </w:r>
      <w:r>
        <w:t xml:space="preserve"> St Korowicz, </w:t>
      </w:r>
      <w:r>
        <w:rPr>
          <w:i/>
        </w:rPr>
        <w:t xml:space="preserve">Introduction, </w:t>
      </w:r>
      <w:r>
        <w:t>23</w:t>
      </w:r>
    </w:p>
  </w:endnote>
  <w:endnote w:id="165">
    <w:p w14:paraId="5DAE536A" w14:textId="77777777" w:rsidR="00E13BCB" w:rsidRDefault="00E13BCB" w:rsidP="00E13BCB">
      <w:pPr>
        <w:pStyle w:val="EndnoteText"/>
      </w:pPr>
      <w:r>
        <w:rPr>
          <w:rStyle w:val="EndnoteReference"/>
        </w:rPr>
        <w:endnoteRef/>
      </w:r>
      <w:r>
        <w:t xml:space="preserve"> A standard compilation of the time, </w:t>
      </w:r>
      <w:r w:rsidRPr="003A0622">
        <w:t xml:space="preserve">L. Oppenheim, </w:t>
      </w:r>
      <w:r w:rsidRPr="003A0622">
        <w:rPr>
          <w:i/>
        </w:rPr>
        <w:t xml:space="preserve">International Law: A Treatise, Vol I, Peace, </w:t>
      </w:r>
      <w:r w:rsidRPr="003A0622">
        <w:t>edited by H</w:t>
      </w:r>
      <w:r>
        <w:t>.</w:t>
      </w:r>
      <w:r w:rsidRPr="003A0622">
        <w:t xml:space="preserve"> Lauterpacht, London: Longmans, Green and Co, 1947</w:t>
      </w:r>
      <w:r>
        <w:t xml:space="preserve"> is clear that this approach wasn’t acceptable, 128-29:</w:t>
      </w:r>
    </w:p>
    <w:p w14:paraId="03C30392" w14:textId="77777777" w:rsidR="00E13BCB" w:rsidRDefault="00E13BCB" w:rsidP="00E13BCB">
      <w:pPr>
        <w:pStyle w:val="EndnoteText"/>
      </w:pPr>
      <w:r w:rsidRPr="003A0622">
        <w:t xml:space="preserve">“Occasionally, States have refused to recognize foreign Governments either on the ground of their revolutionary origin and the degree of violence accompanying the change or of their supposed unwillingness to fulfill their international obligations.  Neither of these tests can be regarded as satisfactory.  In the absence of effective international guarantees for securing just government and proper administration of the law within various States, it is impossible to insist on the perpetuation of any existing regime by a refusal to recognize its revolutionary successor.  Neither is it in the long run practicable to adopt the indirect method of refusal of recognition as a means of compelling the fulfillment of international obligations.  The more rational method is to grant recognition and then insist, by such means as </w:t>
      </w:r>
      <w:r>
        <w:t>international law</w:t>
      </w:r>
      <w:r w:rsidRPr="003A0622">
        <w:t xml:space="preserve"> offers, on the proper fulfillment of its obligations on the part of that recognized government.”</w:t>
      </w:r>
      <w:r>
        <w:t xml:space="preserve">  </w:t>
      </w:r>
    </w:p>
    <w:p w14:paraId="6B6CA764" w14:textId="77777777" w:rsidR="00E13BCB" w:rsidRDefault="00E13BCB" w:rsidP="00E13BCB">
      <w:pPr>
        <w:pStyle w:val="EndnoteText"/>
      </w:pPr>
      <w:r>
        <w:t xml:space="preserve">It is possible to reject the above, as inapplicable, given that this is during war, in which case we move to Vol 2, </w:t>
      </w:r>
      <w:r>
        <w:rPr>
          <w:i/>
        </w:rPr>
        <w:t>War,</w:t>
      </w:r>
      <w:r>
        <w:t xml:space="preserve"> for the following:</w:t>
      </w:r>
      <w:r w:rsidRPr="00477D67">
        <w:rPr>
          <w:rFonts w:eastAsiaTheme="minorEastAsia"/>
          <w:sz w:val="28"/>
          <w:szCs w:val="28"/>
        </w:rPr>
        <w:t xml:space="preserve"> </w:t>
      </w:r>
      <w:r w:rsidRPr="00477D67">
        <w:t>240 “…there is no doubt that, in consequence of Convention III, recourse to hostilities without a previous declaration of war, or a qualified ultimatum, is forbidden.  But a war can nevertheless break out without these preliminaries.”</w:t>
      </w:r>
      <w:r>
        <w:t xml:space="preserve"> </w:t>
      </w:r>
      <w:r w:rsidRPr="00477D67">
        <w:t>241 “It is certain that States which deliberately order the commencement of hostilities without a previous declaration of war or a qualified ultimatum commit an international delinquency: but they are nevertheless engaged in war.”</w:t>
      </w:r>
      <w:r>
        <w:t xml:space="preserve">  </w:t>
      </w:r>
      <w:r w:rsidRPr="00477D67">
        <w:t xml:space="preserve">That same para finishes: “Now, in all these and similar cases, all the laws of warfare must find application, for a war is still war in the eyes of </w:t>
      </w:r>
      <w:r>
        <w:t xml:space="preserve">international law </w:t>
      </w:r>
      <w:r w:rsidRPr="00477D67">
        <w:t>even though it has been illegally commenced, or has automatically arisen from acts of force which were not intended to be acts of war.”</w:t>
      </w:r>
    </w:p>
    <w:p w14:paraId="425E9FBD" w14:textId="77777777" w:rsidR="00E13BCB" w:rsidRDefault="00E13BCB" w:rsidP="00E13BCB">
      <w:pPr>
        <w:pStyle w:val="EndnoteText"/>
      </w:pPr>
      <w:r>
        <w:t xml:space="preserve">Published before the 1948 war, this couldn’t have been written in response to it, but certainly applied.  It might be possible to object and say none of the above applies, as all this is happening outside of the restrictions of international law, but that is the point.  </w:t>
      </w:r>
    </w:p>
    <w:p w14:paraId="4322EB9A" w14:textId="77777777" w:rsidR="00E13BCB" w:rsidRDefault="00E13BCB" w:rsidP="00E13BCB">
      <w:pPr>
        <w:pStyle w:val="EndnoteText"/>
      </w:pPr>
      <w:r>
        <w:t>This also begs the question: Did the international community have a responsibility to defend international law by at least protesting against behavior that clearly fell outside the law?  Or to flip the question: If international law is defined by actions that have found acceptance in the international community, and that one did, once the precedent was set for its acceptance, was it ever used again between states, or was it an anomaly?</w:t>
      </w:r>
    </w:p>
    <w:p w14:paraId="2DB559E6" w14:textId="77777777" w:rsidR="00E13BCB" w:rsidRDefault="00E13BCB" w:rsidP="00E13BCB">
      <w:pPr>
        <w:pStyle w:val="EndnoteText"/>
      </w:pPr>
      <w:r>
        <w:t xml:space="preserve">While Oppenheim’s makes the issue rather clear, the inter-war period saw serious discussions about the use of non-recognition as a proper tool in international law.  This came up in the Japanese invasion of Manchuria and creating there a separate state, Manchuko.  US Secretary of State Stimson called for non-recognition in Jan, 1932.  This is the context for </w:t>
      </w:r>
      <w:r w:rsidRPr="008D6DED">
        <w:t>Roland Hall</w:t>
      </w:r>
      <w:r>
        <w:t xml:space="preserve"> </w:t>
      </w:r>
      <w:r w:rsidRPr="008D6DED">
        <w:t xml:space="preserve">Sharp, “Duties of Non-Recognition in Practice: 1775-1934” </w:t>
      </w:r>
      <w:r w:rsidRPr="008B5B0F">
        <w:rPr>
          <w:i/>
          <w:iCs/>
        </w:rPr>
        <w:t>Geneva Special Studies</w:t>
      </w:r>
      <w:r w:rsidRPr="008D6DED">
        <w:t xml:space="preserve"> V no 4, 1934</w:t>
      </w:r>
      <w:r>
        <w:t xml:space="preserve">, an overview of the use of the tool.  Two issues separate the use that was being advocated in the article: 1, that the tool should only be used for brief periods, as it created problems of its own, p 11, 18 and 2., in all cases Sharp is talking about the use of the tool to create peace, and in this case it was unambiguously declared to be so that conflict could be continued.  Further elaboration is in </w:t>
      </w:r>
      <w:r w:rsidRPr="00AA5C02">
        <w:t>Hans Kelsen</w:t>
      </w:r>
      <w:r>
        <w:t xml:space="preserve">, “Recognition in International Law: Theoretical Observations,” </w:t>
      </w:r>
      <w:r w:rsidRPr="00AA5C02">
        <w:rPr>
          <w:i/>
        </w:rPr>
        <w:t>The American Journal of International Law</w:t>
      </w:r>
      <w:r>
        <w:t xml:space="preserve"> 35,</w:t>
      </w:r>
      <w:r w:rsidRPr="00AA5C02">
        <w:t xml:space="preserve"> No. 4 (Oct., 1941)</w:t>
      </w:r>
      <w:r>
        <w:t xml:space="preserve"> and </w:t>
      </w:r>
      <w:r w:rsidRPr="00AA5C02">
        <w:t>Chesney</w:t>
      </w:r>
      <w:r>
        <w:t xml:space="preserve"> </w:t>
      </w:r>
      <w:r w:rsidRPr="00AA5C02">
        <w:t xml:space="preserve">Hill, "Recent Policies of Non-Recognition," </w:t>
      </w:r>
      <w:r w:rsidRPr="00AA5C02">
        <w:rPr>
          <w:i/>
          <w:iCs/>
        </w:rPr>
        <w:t>International Conciliation</w:t>
      </w:r>
      <w:r w:rsidRPr="00AA5C02">
        <w:t xml:space="preserve"> 15 (1933).</w:t>
      </w:r>
      <w:r>
        <w:t xml:space="preserve">  Of these, Hill is more willing to make judgements as to the efficacy of the tool based on its recent use. </w:t>
      </w:r>
    </w:p>
  </w:endnote>
  <w:endnote w:id="166">
    <w:p w14:paraId="21469610" w14:textId="77777777" w:rsidR="00E13BCB" w:rsidRDefault="00E13BCB" w:rsidP="00E13BCB">
      <w:pPr>
        <w:pStyle w:val="EndnoteText"/>
      </w:pPr>
      <w:r>
        <w:rPr>
          <w:rStyle w:val="EndnoteReference"/>
        </w:rPr>
        <w:endnoteRef/>
      </w:r>
      <w:r>
        <w:t xml:space="preserve"> Rosenne, “Directions”, 58 for both quotes.  It is worth reading the whole passage from “Two major legal problems…” on 57 till “…and the other side not.” on 59.  (It is worth reading the whole article.)</w:t>
      </w:r>
    </w:p>
  </w:endnote>
  <w:endnote w:id="167">
    <w:p w14:paraId="2BF79E8F" w14:textId="77777777" w:rsidR="00E13BCB" w:rsidRDefault="00E13BCB" w:rsidP="00E13BCB">
      <w:pPr>
        <w:pStyle w:val="EndnoteText"/>
      </w:pPr>
      <w:r>
        <w:rPr>
          <w:rStyle w:val="EndnoteReference"/>
        </w:rPr>
        <w:endnoteRef/>
      </w:r>
      <w:r>
        <w:t xml:space="preserve"> It is tempting to want to see this conflict in the context of the Cold War, and so of course there was international conflict.  However, this conflict stood outside the Cold War at the start in a way that none other did.  The US and USSR largely cooperated on 181, recognized Israel at about the same time, and both supported its admission into the UN at the time of the seven-year deadlock over the admission of new states.  Both Poland, 705, and Lebanon, 847, mention this odd agreement in 1C debates, but from very different perspectives: Poland saw it as a ray of hope that the two superpowers could agree on some items, and Lebanon used it to support the notion of Jewish international dominance. </w:t>
      </w:r>
    </w:p>
    <w:p w14:paraId="558A9702" w14:textId="77777777" w:rsidR="00E13BCB" w:rsidRDefault="00E13BCB" w:rsidP="00E13BCB">
      <w:pPr>
        <w:pStyle w:val="EndnoteText"/>
      </w:pPr>
      <w:r>
        <w:t>In an unpublished manuscript available from this author, “</w:t>
      </w:r>
      <w:r w:rsidRPr="007225C2">
        <w:t>Separating the Wheat from the Chaff: Jewish Displaced Persons and Post-War Immigration Policy</w:t>
      </w:r>
      <w:r>
        <w:t>” I argue that the common interest of the superpowers as well as many other supportive states was finding a place for Jewish refugees to go and not having to take them in themselves.</w:t>
      </w:r>
    </w:p>
  </w:endnote>
  <w:endnote w:id="168">
    <w:p w14:paraId="40D0175F" w14:textId="77777777" w:rsidR="00E13BCB" w:rsidRPr="00E86A7A" w:rsidRDefault="00E13BCB" w:rsidP="00E13BCB">
      <w:pPr>
        <w:pStyle w:val="EndnoteText"/>
      </w:pPr>
      <w:r>
        <w:rPr>
          <w:rStyle w:val="EndnoteReference"/>
        </w:rPr>
        <w:endnoteRef/>
      </w:r>
      <w:r>
        <w:t xml:space="preserve"> Eban, </w:t>
      </w:r>
      <w:r>
        <w:rPr>
          <w:i/>
        </w:rPr>
        <w:t xml:space="preserve">Personal Witness, </w:t>
      </w:r>
      <w:r>
        <w:t xml:space="preserve">considers this the foundation of Arab strategy, 197: </w:t>
      </w:r>
      <w:r w:rsidRPr="00E86A7A">
        <w:t>“Azzam Pasha, the secretary-general of the A</w:t>
      </w:r>
      <w:r>
        <w:t xml:space="preserve">rab </w:t>
      </w:r>
      <w:r w:rsidRPr="00E86A7A">
        <w:t>L</w:t>
      </w:r>
      <w:r>
        <w:t>eague</w:t>
      </w:r>
      <w:r w:rsidRPr="00E86A7A">
        <w:t xml:space="preserve">, said, </w:t>
      </w:r>
      <w:r>
        <w:t>‘</w:t>
      </w:r>
      <w:r w:rsidRPr="00E86A7A">
        <w:t>We have a secret weapon which we can use better than guns, and this is time.  As long as we don’t make peace with the Zionists, the war is not over and as long as the war is not over, there is neither victor nor vanquished.  As soon as we recognize the existence of Israel, we shall have admitted by this very act that we are vanquished.</w:t>
      </w:r>
      <w:r>
        <w:t>’</w:t>
      </w:r>
      <w:r w:rsidRPr="00E86A7A">
        <w:t xml:space="preserve">”  </w:t>
      </w:r>
      <w:r>
        <w:t xml:space="preserve"> </w:t>
      </w:r>
    </w:p>
  </w:endnote>
  <w:endnote w:id="169">
    <w:p w14:paraId="0A1D63B8" w14:textId="77777777" w:rsidR="00E13BCB" w:rsidRDefault="00E13BCB" w:rsidP="00E13BCB">
      <w:pPr>
        <w:pStyle w:val="EndnoteText"/>
      </w:pPr>
      <w:r>
        <w:rPr>
          <w:rStyle w:val="EndnoteReference"/>
        </w:rPr>
        <w:endnoteRef/>
      </w:r>
      <w:r>
        <w:t xml:space="preserve"> Rosenne, “Directions”, 45. </w:t>
      </w:r>
      <w:r w:rsidRPr="00815FF9">
        <w:rPr>
          <w:i/>
        </w:rPr>
        <w:t xml:space="preserve"> </w:t>
      </w:r>
      <w:r w:rsidRPr="00815FF9">
        <w:t xml:space="preserve">Stone, </w:t>
      </w:r>
      <w:r w:rsidRPr="00815FF9">
        <w:rPr>
          <w:i/>
        </w:rPr>
        <w:t>Israel and Palestine</w:t>
      </w:r>
      <w:r>
        <w:t xml:space="preserve"> would agree with Rosenne, but he goes a step further: there is no common accepted framework for any of the actors.  It is not the purpose of this paper to judge the various claims of sovereignty in these cases, but anyone who is interested in the issue would do well to read this short book.  He weighs the various arguments and claims and does come to conclusions.  His final conclusion is that in masking politics with a fig leaf of international law, the international community has done damage to the law itself.</w:t>
      </w:r>
    </w:p>
  </w:endnote>
  <w:endnote w:id="170">
    <w:p w14:paraId="248732E8" w14:textId="77777777" w:rsidR="00E13BCB" w:rsidRDefault="00E13BCB" w:rsidP="00E13BCB">
      <w:pPr>
        <w:pStyle w:val="EndnoteText"/>
      </w:pPr>
      <w:r>
        <w:rPr>
          <w:rStyle w:val="EndnoteReference"/>
        </w:rPr>
        <w:endnoteRef/>
      </w:r>
      <w:r>
        <w:t xml:space="preserve"> Rosenne, “Directions”, 57 makes the argument that SC resolution 242, after the 1967 War, was the first time the UN called for a lasting peace.  FN 41 on that page goes over the resolutions proceeding it to show that they are about conflict management, but not getting to peace.  </w:t>
      </w:r>
    </w:p>
  </w:endnote>
  <w:endnote w:id="171">
    <w:p w14:paraId="71B8B66F" w14:textId="77777777" w:rsidR="00E13BCB" w:rsidRPr="00A7319E" w:rsidRDefault="00E13BCB" w:rsidP="00E13BCB">
      <w:pPr>
        <w:pStyle w:val="EndnoteText"/>
        <w:rPr>
          <w:i/>
        </w:rPr>
      </w:pPr>
      <w:r>
        <w:rPr>
          <w:rStyle w:val="EndnoteReference"/>
        </w:rPr>
        <w:endnoteRef/>
      </w:r>
      <w:r>
        <w:t xml:space="preserve"> </w:t>
      </w:r>
      <w:r w:rsidRPr="00A7319E">
        <w:t>Pablo de</w:t>
      </w:r>
      <w:r>
        <w:t xml:space="preserve"> </w:t>
      </w:r>
      <w:r w:rsidRPr="00A7319E">
        <w:t xml:space="preserve">Azcarate, </w:t>
      </w:r>
      <w:r w:rsidRPr="00A7319E">
        <w:rPr>
          <w:i/>
        </w:rPr>
        <w:t>League of Nations and National Minorities: An Experiment,</w:t>
      </w:r>
      <w:r w:rsidRPr="00A7319E">
        <w:t xml:space="preserve"> translated from the Spanish by Eileen E. Brooke, </w:t>
      </w:r>
      <w:r>
        <w:t>(</w:t>
      </w:r>
      <w:r w:rsidRPr="00A7319E">
        <w:t>Washington: Carnegie Endowment for International Peace, 1945</w:t>
      </w:r>
      <w:r>
        <w:t>), 11.</w:t>
      </w:r>
      <w:r w:rsidRPr="00A7319E">
        <w:rPr>
          <w:i/>
        </w:rPr>
        <w:t xml:space="preserve"> </w:t>
      </w:r>
    </w:p>
  </w:endnote>
  <w:endnote w:id="172">
    <w:p w14:paraId="4CDFF22B" w14:textId="77777777" w:rsidR="00E13BCB" w:rsidRPr="00F27DA8" w:rsidRDefault="00E13BCB" w:rsidP="00E13BCB">
      <w:pPr>
        <w:pStyle w:val="EndnoteText"/>
      </w:pPr>
      <w:r>
        <w:rPr>
          <w:rStyle w:val="EndnoteReference"/>
        </w:rPr>
        <w:endnoteRef/>
      </w:r>
      <w:r>
        <w:t xml:space="preserve"> Van </w:t>
      </w:r>
      <w:proofErr w:type="spellStart"/>
      <w:r>
        <w:t>Kleffens</w:t>
      </w:r>
      <w:proofErr w:type="spellEnd"/>
      <w:r>
        <w:t xml:space="preserve">, </w:t>
      </w:r>
      <w:r>
        <w:rPr>
          <w:i/>
        </w:rPr>
        <w:t xml:space="preserve">Lectures, </w:t>
      </w:r>
      <w:r>
        <w:t>95</w:t>
      </w:r>
      <w:r>
        <w:rPr>
          <w:i/>
        </w:rPr>
        <w:t>.</w:t>
      </w:r>
      <w:r>
        <w:t xml:space="preserve">  </w:t>
      </w:r>
      <w:r w:rsidRPr="00F27DA8">
        <w:t xml:space="preserve">Sir John Fischer Williams, </w:t>
      </w:r>
      <w:r w:rsidRPr="00F27DA8">
        <w:rPr>
          <w:i/>
        </w:rPr>
        <w:t>Chapters on Current International Law and the League of Nations,</w:t>
      </w:r>
      <w:r>
        <w:rPr>
          <w:i/>
        </w:rPr>
        <w:t xml:space="preserve"> </w:t>
      </w:r>
      <w:r>
        <w:t>(</w:t>
      </w:r>
      <w:r w:rsidRPr="00F27DA8">
        <w:t>London: Longmans, Green and Co, 1929</w:t>
      </w:r>
      <w:r>
        <w:t>), 111 would agree:</w:t>
      </w:r>
      <w:r w:rsidRPr="00F27DA8">
        <w:t xml:space="preserve"> </w:t>
      </w:r>
      <w:r>
        <w:t>“</w:t>
      </w:r>
      <w:r w:rsidRPr="00F27DA8">
        <w:t xml:space="preserve">For in strictness neutrality is a quality of a State, a </w:t>
      </w:r>
      <w:r w:rsidRPr="00F27DA8">
        <w:rPr>
          <w:i/>
        </w:rPr>
        <w:t xml:space="preserve">persona </w:t>
      </w:r>
      <w:r w:rsidRPr="00F27DA8">
        <w:t>in international law, not of a territory, which has no international persona.”</w:t>
      </w:r>
    </w:p>
  </w:endnote>
  <w:endnote w:id="173">
    <w:p w14:paraId="465A2C18" w14:textId="77777777" w:rsidR="00E13BCB" w:rsidRDefault="00E13BCB" w:rsidP="00E13BCB">
      <w:pPr>
        <w:pStyle w:val="EndnoteText"/>
      </w:pPr>
      <w:r>
        <w:rPr>
          <w:rStyle w:val="EndnoteReference"/>
        </w:rPr>
        <w:endnoteRef/>
      </w:r>
      <w:r>
        <w:t xml:space="preserve"> Hall, “The International Frontier”, 58 in fn 21 has</w:t>
      </w:r>
      <w:r w:rsidRPr="00150BD5">
        <w:t xml:space="preserve"> “As the archipelago is actually a territory not belonging to anyone,” the Supreme Council’s Spitzbergen Commission reported, “everyone agrees upon the necessity of ending this state of affairs and giving it a definite status.”</w:t>
      </w:r>
    </w:p>
  </w:endnote>
  <w:endnote w:id="174">
    <w:p w14:paraId="0C5A71B5" w14:textId="77777777" w:rsidR="00E13BCB" w:rsidRPr="002A2E43" w:rsidRDefault="00E13BCB" w:rsidP="00E13BCB">
      <w:pPr>
        <w:pStyle w:val="EndnoteText"/>
      </w:pPr>
      <w:r>
        <w:rPr>
          <w:rStyle w:val="EndnoteReference"/>
        </w:rPr>
        <w:endnoteRef/>
      </w:r>
      <w:r>
        <w:t xml:space="preserve"> Pedersen, </w:t>
      </w:r>
      <w:r>
        <w:rPr>
          <w:i/>
        </w:rPr>
        <w:t xml:space="preserve">Guardians, </w:t>
      </w:r>
      <w:r>
        <w:t xml:space="preserve">95: </w:t>
      </w:r>
      <w:r w:rsidRPr="002A2E43">
        <w:t>“Yet the territory in which politics was most thoroughly ‘internationalized’ was none of these: it was Palestine.”</w:t>
      </w:r>
      <w:r>
        <w:t xml:space="preserve">  In the section, ‘Competitive Internationalization in Palestine’, 95-103, she argues that this was the most internationalized of mandates from its inception, and remained that way till the end.  Actors all over the world wanted a say in what happened there.  </w:t>
      </w:r>
    </w:p>
  </w:endnote>
  <w:endnote w:id="175">
    <w:p w14:paraId="04C8F031" w14:textId="77777777" w:rsidR="00E13BCB" w:rsidRDefault="00E13BCB" w:rsidP="00E13BCB">
      <w:pPr>
        <w:pStyle w:val="EndnoteText"/>
      </w:pPr>
      <w:r>
        <w:rPr>
          <w:rStyle w:val="EndnoteReference"/>
        </w:rPr>
        <w:endnoteRef/>
      </w:r>
      <w:r w:rsidRPr="009001F3">
        <w:t xml:space="preserve">Fink, </w:t>
      </w:r>
      <w:r w:rsidRPr="009001F3">
        <w:rPr>
          <w:i/>
        </w:rPr>
        <w:t>Rights of Others</w:t>
      </w:r>
      <w:r>
        <w:rPr>
          <w:i/>
        </w:rPr>
        <w:t>,</w:t>
      </w:r>
      <w:r>
        <w:t xml:space="preserve"> makes the case for Jews as an internationalized people.  In her view, concerns about controlling the movement of Jews leads to the development of human rights and minority protection.  Of course, this would be only to understand internationalization in terms of the modern state.  It would be easy to argue that the Jews were an internationalized people in earlier polities as well. </w:t>
      </w:r>
    </w:p>
  </w:endnote>
  <w:endnote w:id="176">
    <w:p w14:paraId="2BB34D90" w14:textId="77777777" w:rsidR="00E13BCB" w:rsidRDefault="00E13BCB" w:rsidP="00E13BCB">
      <w:pPr>
        <w:pStyle w:val="EndnoteText"/>
      </w:pPr>
      <w:r>
        <w:rPr>
          <w:rStyle w:val="EndnoteReference"/>
        </w:rPr>
        <w:endnoteRef/>
      </w:r>
      <w:r>
        <w:t xml:space="preserve"> Rosenne, “Directions”, 61, 67:</w:t>
      </w:r>
      <w:r w:rsidRPr="00AC004C">
        <w:rPr>
          <w:rFonts w:ascii="Times New Roman" w:eastAsia="Times New Roman" w:hAnsi="Times New Roman" w:cs="Times New Roman"/>
          <w:sz w:val="22"/>
          <w:szCs w:val="22"/>
        </w:rPr>
        <w:t xml:space="preserve"> </w:t>
      </w:r>
      <w:r>
        <w:rPr>
          <w:rFonts w:ascii="Times New Roman" w:eastAsia="Times New Roman" w:hAnsi="Times New Roman" w:cs="Times New Roman"/>
          <w:sz w:val="22"/>
          <w:szCs w:val="22"/>
        </w:rPr>
        <w:t>“</w:t>
      </w:r>
      <w:r w:rsidRPr="00AC004C">
        <w:t>The long drawn out crisis in the Middle East can be taken as a case study of the dangers to international peace which are created by a too loose and unthoughtful reliance on abstractions and general</w:t>
      </w:r>
      <w:r>
        <w:t xml:space="preserve"> principals.”</w:t>
      </w:r>
    </w:p>
  </w:endnote>
  <w:endnote w:id="177">
    <w:p w14:paraId="18B344E9" w14:textId="77777777" w:rsidR="00E13BCB" w:rsidRPr="006E6644" w:rsidRDefault="00E13BCB" w:rsidP="00E13BCB">
      <w:pPr>
        <w:pStyle w:val="EndnoteText"/>
      </w:pPr>
      <w:r>
        <w:rPr>
          <w:rStyle w:val="EndnoteReference"/>
        </w:rPr>
        <w:endnoteRef/>
      </w:r>
      <w:r>
        <w:t xml:space="preserve"> Levine, “the Status”, 498, fn 65 speaks of “bifurcated Government policy” and 502, “</w:t>
      </w:r>
      <w:r w:rsidRPr="00E9618B">
        <w:t xml:space="preserve">Or, it may be argued that Israel recognizes its own sovereignty, but </w:t>
      </w:r>
      <w:r>
        <w:t>f</w:t>
      </w:r>
      <w:r w:rsidRPr="00E9618B">
        <w:t>or political reasons or otherwise chooses not to so</w:t>
      </w:r>
      <w:r>
        <w:t xml:space="preserve"> declare.”  It is not possible to make a parallel between the actions of the Jordanian government and those of Israel, as Israel is violating the principal of territoriality, Rubinstein, “Status”, 69, according to which all persons residing in a given area are subject to the same system of laws.  Their aims are entirely different as well: Jordan wanted the land and the people, though only got the people, while Israel wants the land but not the people.  </w:t>
      </w:r>
    </w:p>
    <w:p w14:paraId="30676FF1" w14:textId="77777777" w:rsidR="00E13BCB" w:rsidRPr="006E6644" w:rsidRDefault="00E13BCB" w:rsidP="00E13BCB">
      <w:pPr>
        <w:pStyle w:val="EndnoteText"/>
      </w:pPr>
      <w:r>
        <w:t xml:space="preserve">The final section of Rubenstein, “Legislation of the Military Government”, 72-79, is concerned with the development of separate systems of law in the territories. </w:t>
      </w:r>
    </w:p>
  </w:endnote>
  <w:endnote w:id="178">
    <w:p w14:paraId="0B3E4D77" w14:textId="77777777" w:rsidR="00E13BCB" w:rsidRPr="00BC3484" w:rsidRDefault="00E13BCB" w:rsidP="00E13BCB">
      <w:pPr>
        <w:pStyle w:val="EndnoteText"/>
      </w:pPr>
      <w:r>
        <w:rPr>
          <w:rStyle w:val="EndnoteReference"/>
        </w:rPr>
        <w:endnoteRef/>
      </w:r>
      <w:r>
        <w:t xml:space="preserve"> Van Kleffens, </w:t>
      </w:r>
      <w:r>
        <w:rPr>
          <w:i/>
        </w:rPr>
        <w:t xml:space="preserve">Lectures, </w:t>
      </w:r>
      <w:r>
        <w:t>79.</w:t>
      </w:r>
    </w:p>
  </w:endnote>
  <w:endnote w:id="179">
    <w:p w14:paraId="702E8AB2" w14:textId="5ED0E033" w:rsidR="00E13BCB" w:rsidRPr="00574E92" w:rsidRDefault="00E13BCB" w:rsidP="00E13BCB">
      <w:pPr>
        <w:pStyle w:val="EndnoteText"/>
      </w:pPr>
      <w:r>
        <w:rPr>
          <w:rStyle w:val="EndnoteReference"/>
        </w:rPr>
        <w:endnoteRef/>
      </w:r>
      <w:r>
        <w:t xml:space="preserve"> Writing of the principal of self-determination, Ofuatey-Kodjoe, </w:t>
      </w:r>
      <w:r>
        <w:rPr>
          <w:i/>
        </w:rPr>
        <w:t xml:space="preserve">Principal, </w:t>
      </w:r>
      <w:r>
        <w:t xml:space="preserve">186, offers just this test: </w:t>
      </w:r>
      <w:r w:rsidRPr="00574E92">
        <w:t xml:space="preserve">“Whatever the contribution of the principal has been to the development of international organization and </w:t>
      </w:r>
      <w:r>
        <w:t>international law</w:t>
      </w:r>
      <w:r w:rsidRPr="00574E92">
        <w:t>, the overriding question that must be asked has to do with its role in fostering international peace and security.  Has it had a salutary effect on peace and security as the statesmen expected, or has it led to anarchy and a threat to world peace as some writers have suggested?”</w:t>
      </w:r>
      <w:r w:rsidR="0051023F">
        <w:t xml:space="preserve">  </w:t>
      </w:r>
    </w:p>
  </w:endnote>
  <w:endnote w:id="180">
    <w:p w14:paraId="448BBEE8" w14:textId="77777777" w:rsidR="00E13BCB" w:rsidRDefault="00E13BCB" w:rsidP="00E13BCB">
      <w:pPr>
        <w:pStyle w:val="EndnoteText"/>
      </w:pPr>
      <w:r>
        <w:rPr>
          <w:rStyle w:val="EndnoteReference"/>
        </w:rPr>
        <w:endnoteRef/>
      </w:r>
      <w:r>
        <w:t xml:space="preserve"> </w:t>
      </w:r>
      <w:r w:rsidRPr="00970FE7">
        <w:t xml:space="preserve">Edward H Buehrig, </w:t>
      </w:r>
      <w:r w:rsidRPr="00970FE7">
        <w:rPr>
          <w:i/>
        </w:rPr>
        <w:t xml:space="preserve">The UN and the Palestinian Refugees: A Study in Nonterritorial Administration, </w:t>
      </w:r>
      <w:r w:rsidRPr="00970FE7">
        <w:t>Bloomington: Indiana U Press</w:t>
      </w:r>
      <w:r w:rsidRPr="00970FE7">
        <w:rPr>
          <w:i/>
        </w:rPr>
        <w:t xml:space="preserve">, </w:t>
      </w:r>
      <w:r w:rsidRPr="00970FE7">
        <w:t>1971</w:t>
      </w:r>
      <w:r>
        <w:t xml:space="preserve">, 8: </w:t>
      </w:r>
      <w:r w:rsidRPr="00970FE7">
        <w:t>“Despite the partition resolution of an Arab state, the UN’s subsequent approach to the ref</w:t>
      </w:r>
      <w:r>
        <w:t>ugee</w:t>
      </w:r>
      <w:r w:rsidRPr="00970FE7">
        <w:t xml:space="preserve"> problem did not contemplate a Palestinian entity.</w:t>
      </w:r>
      <w:r>
        <w:t>”</w:t>
      </w:r>
      <w:r w:rsidRPr="00970FE7">
        <w:t xml:space="preserve">  </w:t>
      </w:r>
      <w:r>
        <w:t xml:space="preserve">In the Ad Hoc Committee on the Palestinian Question, which reviewed the Partition resolution, meeting 31 p 190, the delegate of Pakistan considers the question of what might happen if only one state were declared after partition and concludes that this would be “a constant source of friction…”.  He was right.  The meeting notes are available at </w:t>
      </w:r>
      <w:hyperlink r:id="rId5" w:history="1">
        <w:r w:rsidRPr="00B16089">
          <w:rPr>
            <w:rStyle w:val="Hyperlink"/>
          </w:rPr>
          <w:t xml:space="preserve">Thirty-first meeting, held at Lake Success, New York, on Monday, 24 November 1947 : [Ad Hoc Committee on the Palestinian Question] = Trente et unieme [...] </w:t>
        </w:r>
      </w:hyperlink>
    </w:p>
  </w:endnote>
  <w:endnote w:id="181">
    <w:p w14:paraId="4027A804" w14:textId="77777777" w:rsidR="00E13BCB" w:rsidRDefault="00E13BCB" w:rsidP="00E13BCB">
      <w:pPr>
        <w:pStyle w:val="EndnoteText"/>
      </w:pPr>
      <w:r>
        <w:rPr>
          <w:rStyle w:val="EndnoteReference"/>
        </w:rPr>
        <w:endnoteRef/>
      </w:r>
      <w:r>
        <w:t xml:space="preserve"> “Choosing the Hard Path”, by this author, uses roughly the same analysis for the refugees that this paper attempts for the issue of sovereignty: that the international community used anomalous solutions for this conflict that weren’t used elsewhere and were known from experience to fail at solving the issues they were applied to.  The result, as here, was increased and sustained conflict.  </w:t>
      </w:r>
    </w:p>
  </w:endnote>
  <w:endnote w:id="182">
    <w:p w14:paraId="4C658435" w14:textId="77777777" w:rsidR="00E13BCB" w:rsidRDefault="00E13BCB" w:rsidP="00E13BCB">
      <w:pPr>
        <w:pStyle w:val="EndnoteText"/>
      </w:pPr>
      <w:r>
        <w:rPr>
          <w:rStyle w:val="EndnoteReference"/>
        </w:rPr>
        <w:endnoteRef/>
      </w:r>
      <w:r>
        <w:t xml:space="preserve"> A partial list of mentions of this accusation in 1C discussions: Ukraine: 797; USSR: 695-6, 799, 925, 927; Poland: 706; New Zealand: 803-4; Guatemala: 907, 910; Israel: 906-7.  Of course, this is the UN, and so all the sides appeal that their approach is the only one that will bring peace and avoid conflict, it is the most basic argument made here.  </w:t>
      </w:r>
    </w:p>
    <w:p w14:paraId="6D8DCE87" w14:textId="77777777" w:rsidR="00E13BCB" w:rsidRDefault="00E13BCB" w:rsidP="00E13BCB">
      <w:pPr>
        <w:pStyle w:val="EndnoteText"/>
      </w:pPr>
    </w:p>
    <w:p w14:paraId="7438F2BF" w14:textId="77777777" w:rsidR="00E13BCB" w:rsidRDefault="00E13BCB" w:rsidP="00E13BCB">
      <w:pPr>
        <w:pStyle w:val="EndnoteText"/>
      </w:pPr>
    </w:p>
    <w:p w14:paraId="47C58432" w14:textId="77777777" w:rsidR="00E13BCB" w:rsidRDefault="00E13BCB" w:rsidP="00E13BCB">
      <w:pPr>
        <w:rPr>
          <w:sz w:val="28"/>
          <w:szCs w:val="28"/>
        </w:rPr>
      </w:pPr>
      <w:r>
        <w:rPr>
          <w:sz w:val="28"/>
          <w:szCs w:val="28"/>
        </w:rPr>
        <w:t>Works Cited</w:t>
      </w:r>
    </w:p>
    <w:p w14:paraId="7F6D40E9" w14:textId="77777777" w:rsidR="00E13BCB" w:rsidRDefault="00E13BCB" w:rsidP="00E13BCB">
      <w:pPr>
        <w:rPr>
          <w:sz w:val="28"/>
          <w:szCs w:val="28"/>
        </w:rPr>
      </w:pPr>
    </w:p>
    <w:p w14:paraId="1D60272E" w14:textId="77777777" w:rsidR="00E13BCB" w:rsidRDefault="00E13BCB" w:rsidP="00E13BCB">
      <w:pPr>
        <w:rPr>
          <w:sz w:val="28"/>
          <w:szCs w:val="28"/>
        </w:rPr>
      </w:pPr>
      <w:r>
        <w:rPr>
          <w:sz w:val="28"/>
          <w:szCs w:val="28"/>
        </w:rPr>
        <w:t>Documents available on the web</w:t>
      </w:r>
    </w:p>
    <w:p w14:paraId="0CCBBEFF" w14:textId="77777777" w:rsidR="00E13BCB" w:rsidRDefault="00E13BCB" w:rsidP="00E13BCB">
      <w:pPr>
        <w:rPr>
          <w:sz w:val="28"/>
          <w:szCs w:val="28"/>
        </w:rPr>
      </w:pPr>
    </w:p>
    <w:p w14:paraId="7F6AE159" w14:textId="77777777" w:rsidR="00E13BCB" w:rsidRDefault="008C7D99" w:rsidP="00E13BCB">
      <w:pPr>
        <w:rPr>
          <w:rStyle w:val="Hyperlink"/>
          <w:sz w:val="28"/>
          <w:szCs w:val="28"/>
        </w:rPr>
      </w:pPr>
      <w:hyperlink r:id="rId6" w:history="1">
        <w:r w:rsidR="00E13BCB" w:rsidRPr="00FF213A">
          <w:rPr>
            <w:rStyle w:val="Hyperlink"/>
            <w:sz w:val="28"/>
            <w:szCs w:val="28"/>
          </w:rPr>
          <w:t>Official records of the Third Session of the General Assembly, Part 1, First Committee</w:t>
        </w:r>
      </w:hyperlink>
    </w:p>
    <w:p w14:paraId="425413AF" w14:textId="77777777" w:rsidR="00E13BCB" w:rsidRDefault="00E13BCB" w:rsidP="00E13BCB">
      <w:pPr>
        <w:rPr>
          <w:rStyle w:val="Hyperlink"/>
          <w:sz w:val="28"/>
          <w:szCs w:val="28"/>
        </w:rPr>
      </w:pPr>
    </w:p>
    <w:p w14:paraId="2E840042" w14:textId="77777777" w:rsidR="00E13BCB" w:rsidRDefault="008C7D99" w:rsidP="00E13BCB">
      <w:pPr>
        <w:rPr>
          <w:rStyle w:val="Hyperlink"/>
          <w:sz w:val="28"/>
          <w:szCs w:val="28"/>
        </w:rPr>
      </w:pPr>
      <w:hyperlink r:id="rId7" w:history="1">
        <w:r w:rsidR="00E13BCB" w:rsidRPr="00F577DD">
          <w:rPr>
            <w:rStyle w:val="Hyperlink"/>
            <w:sz w:val="28"/>
            <w:szCs w:val="28"/>
          </w:rPr>
          <w:t>Sixth Committee, Summary Records, September-November 1947</w:t>
        </w:r>
      </w:hyperlink>
    </w:p>
    <w:p w14:paraId="190ABC18" w14:textId="77777777" w:rsidR="00E13BCB" w:rsidRDefault="00E13BCB" w:rsidP="00E13BCB">
      <w:pPr>
        <w:rPr>
          <w:sz w:val="28"/>
          <w:szCs w:val="28"/>
        </w:rPr>
      </w:pPr>
    </w:p>
    <w:p w14:paraId="4BDEAF92" w14:textId="77777777" w:rsidR="00E13BCB" w:rsidRDefault="008C7D99" w:rsidP="00E13BCB">
      <w:pPr>
        <w:rPr>
          <w:rStyle w:val="Hyperlink"/>
          <w:sz w:val="28"/>
          <w:szCs w:val="28"/>
        </w:rPr>
      </w:pPr>
      <w:hyperlink r:id="rId8" w:history="1">
        <w:r w:rsidR="00E13BCB" w:rsidRPr="00313916">
          <w:rPr>
            <w:rStyle w:val="Hyperlink"/>
            <w:sz w:val="28"/>
            <w:szCs w:val="28"/>
          </w:rPr>
          <w:t>Progress Report of the UN Mediator on Palestine</w:t>
        </w:r>
      </w:hyperlink>
    </w:p>
    <w:p w14:paraId="39025F7D" w14:textId="77777777" w:rsidR="00E13BCB" w:rsidRDefault="00E13BCB" w:rsidP="00E13BCB">
      <w:pPr>
        <w:rPr>
          <w:sz w:val="28"/>
          <w:szCs w:val="28"/>
        </w:rPr>
      </w:pPr>
    </w:p>
    <w:p w14:paraId="2B160405" w14:textId="77777777" w:rsidR="00E13BCB" w:rsidRDefault="008C7D99" w:rsidP="00E13BCB">
      <w:pPr>
        <w:rPr>
          <w:rStyle w:val="Hyperlink"/>
          <w:sz w:val="28"/>
          <w:szCs w:val="28"/>
        </w:rPr>
      </w:pPr>
      <w:hyperlink r:id="rId9" w:history="1">
        <w:r w:rsidR="00E13BCB" w:rsidRPr="00F92C08">
          <w:rPr>
            <w:rStyle w:val="Hyperlink"/>
            <w:sz w:val="28"/>
            <w:szCs w:val="28"/>
          </w:rPr>
          <w:t>UNGA Resolution 194 (III)</w:t>
        </w:r>
      </w:hyperlink>
    </w:p>
    <w:p w14:paraId="06A503D8" w14:textId="77777777" w:rsidR="00E13BCB" w:rsidRDefault="00E13BCB" w:rsidP="00E13BCB">
      <w:pPr>
        <w:rPr>
          <w:sz w:val="28"/>
          <w:szCs w:val="28"/>
        </w:rPr>
      </w:pPr>
    </w:p>
    <w:p w14:paraId="039128A6" w14:textId="77777777" w:rsidR="00E13BCB" w:rsidRPr="00B16089" w:rsidRDefault="008C7D99" w:rsidP="00E13BCB">
      <w:pPr>
        <w:rPr>
          <w:sz w:val="28"/>
          <w:szCs w:val="28"/>
        </w:rPr>
      </w:pPr>
      <w:hyperlink r:id="rId10" w:history="1">
        <w:r w:rsidR="00E13BCB" w:rsidRPr="00B16089">
          <w:rPr>
            <w:rStyle w:val="Hyperlink"/>
            <w:sz w:val="28"/>
            <w:szCs w:val="28"/>
          </w:rPr>
          <w:t xml:space="preserve">Thirty-first meeting, held at Lake Success, New York, on Monday, 24 November 1947 : [Ad Hoc Committee on the Palestinian Question] = Trente et unieme [...] </w:t>
        </w:r>
      </w:hyperlink>
    </w:p>
    <w:p w14:paraId="72D11E1A" w14:textId="77777777" w:rsidR="00E13BCB" w:rsidRDefault="00E13BCB" w:rsidP="00E13BCB">
      <w:pPr>
        <w:rPr>
          <w:sz w:val="28"/>
          <w:szCs w:val="28"/>
        </w:rPr>
      </w:pPr>
    </w:p>
    <w:p w14:paraId="5B7CB551" w14:textId="77777777" w:rsidR="00E13BCB" w:rsidRDefault="00E13BCB" w:rsidP="00E13BCB">
      <w:pPr>
        <w:rPr>
          <w:sz w:val="28"/>
          <w:szCs w:val="28"/>
        </w:rPr>
      </w:pPr>
    </w:p>
    <w:p w14:paraId="5A44D797" w14:textId="77777777" w:rsidR="00E13BCB" w:rsidRDefault="00E13BCB" w:rsidP="00E13BCB">
      <w:pPr>
        <w:rPr>
          <w:sz w:val="28"/>
          <w:szCs w:val="28"/>
        </w:rPr>
      </w:pPr>
    </w:p>
    <w:p w14:paraId="1E0F9CAA" w14:textId="77777777" w:rsidR="00E13BCB" w:rsidRDefault="00E13BCB" w:rsidP="00E13BCB">
      <w:pPr>
        <w:rPr>
          <w:sz w:val="28"/>
          <w:szCs w:val="28"/>
        </w:rPr>
      </w:pPr>
      <w:r>
        <w:rPr>
          <w:sz w:val="28"/>
          <w:szCs w:val="28"/>
        </w:rPr>
        <w:t xml:space="preserve">“The Arab League: Development and Difficulties” </w:t>
      </w:r>
      <w:r w:rsidRPr="00121832">
        <w:rPr>
          <w:i/>
          <w:sz w:val="28"/>
          <w:szCs w:val="28"/>
        </w:rPr>
        <w:t>World Today</w:t>
      </w:r>
      <w:r w:rsidRPr="00121832">
        <w:rPr>
          <w:sz w:val="28"/>
          <w:szCs w:val="28"/>
        </w:rPr>
        <w:t>; May 1, 1951; 7, 5</w:t>
      </w:r>
      <w:r>
        <w:rPr>
          <w:sz w:val="28"/>
          <w:szCs w:val="28"/>
        </w:rPr>
        <w:t>:</w:t>
      </w:r>
      <w:r w:rsidRPr="00121832">
        <w:rPr>
          <w:sz w:val="28"/>
          <w:szCs w:val="28"/>
        </w:rPr>
        <w:t xml:space="preserve"> 187</w:t>
      </w:r>
      <w:r>
        <w:rPr>
          <w:sz w:val="28"/>
          <w:szCs w:val="28"/>
        </w:rPr>
        <w:t xml:space="preserve">-196. </w:t>
      </w:r>
    </w:p>
    <w:p w14:paraId="57F9F34F" w14:textId="77777777" w:rsidR="00E13BCB" w:rsidRDefault="00E13BCB" w:rsidP="00E13BCB">
      <w:pPr>
        <w:rPr>
          <w:sz w:val="28"/>
          <w:szCs w:val="28"/>
        </w:rPr>
      </w:pPr>
    </w:p>
    <w:p w14:paraId="2AF7F777" w14:textId="77777777" w:rsidR="00E13BCB" w:rsidRDefault="00E13BCB" w:rsidP="00E13BCB">
      <w:pPr>
        <w:rPr>
          <w:sz w:val="28"/>
          <w:szCs w:val="28"/>
        </w:rPr>
      </w:pPr>
      <w:r w:rsidRPr="007E6B31">
        <w:rPr>
          <w:sz w:val="28"/>
          <w:szCs w:val="28"/>
        </w:rPr>
        <w:t>Alexander</w:t>
      </w:r>
      <w:r>
        <w:rPr>
          <w:sz w:val="28"/>
          <w:szCs w:val="28"/>
        </w:rPr>
        <w:t xml:space="preserve">, </w:t>
      </w:r>
      <w:r w:rsidRPr="007E6B31">
        <w:rPr>
          <w:sz w:val="28"/>
          <w:szCs w:val="28"/>
        </w:rPr>
        <w:t xml:space="preserve">Lewis M. </w:t>
      </w:r>
      <w:r>
        <w:rPr>
          <w:sz w:val="28"/>
          <w:szCs w:val="28"/>
        </w:rPr>
        <w:t>“</w:t>
      </w:r>
      <w:r w:rsidRPr="007E6B31">
        <w:rPr>
          <w:sz w:val="28"/>
          <w:szCs w:val="28"/>
        </w:rPr>
        <w:t>The Arab-Israeli Boundary Problem</w:t>
      </w:r>
      <w:r>
        <w:rPr>
          <w:sz w:val="28"/>
          <w:szCs w:val="28"/>
        </w:rPr>
        <w:t>”</w:t>
      </w:r>
      <w:r w:rsidRPr="007E6B31">
        <w:rPr>
          <w:sz w:val="28"/>
          <w:szCs w:val="28"/>
        </w:rPr>
        <w:t xml:space="preserve">, 6 </w:t>
      </w:r>
      <w:r w:rsidRPr="007E6B31">
        <w:rPr>
          <w:i/>
          <w:sz w:val="28"/>
          <w:szCs w:val="28"/>
        </w:rPr>
        <w:t>World Politics</w:t>
      </w:r>
      <w:r>
        <w:rPr>
          <w:sz w:val="28"/>
          <w:szCs w:val="28"/>
        </w:rPr>
        <w:t>,</w:t>
      </w:r>
      <w:r w:rsidRPr="007E6B31">
        <w:rPr>
          <w:sz w:val="28"/>
          <w:szCs w:val="28"/>
        </w:rPr>
        <w:t xml:space="preserve"> 322 (1954): 322-337</w:t>
      </w:r>
      <w:r>
        <w:rPr>
          <w:sz w:val="28"/>
          <w:szCs w:val="28"/>
        </w:rPr>
        <w:t>.</w:t>
      </w:r>
    </w:p>
    <w:p w14:paraId="05DD5AF0" w14:textId="77777777" w:rsidR="00E13BCB" w:rsidRDefault="00E13BCB" w:rsidP="00E13BCB">
      <w:pPr>
        <w:rPr>
          <w:sz w:val="28"/>
          <w:szCs w:val="28"/>
        </w:rPr>
      </w:pPr>
    </w:p>
    <w:p w14:paraId="17F66056" w14:textId="77777777" w:rsidR="00E13BCB" w:rsidRDefault="00E13BCB" w:rsidP="00E13BCB">
      <w:pPr>
        <w:rPr>
          <w:i/>
          <w:sz w:val="28"/>
          <w:szCs w:val="28"/>
        </w:rPr>
      </w:pPr>
      <w:r w:rsidRPr="00A7319E">
        <w:rPr>
          <w:sz w:val="28"/>
          <w:szCs w:val="28"/>
        </w:rPr>
        <w:t>Azcarate, Pablo de</w:t>
      </w:r>
      <w:r>
        <w:rPr>
          <w:sz w:val="28"/>
          <w:szCs w:val="28"/>
        </w:rPr>
        <w:t>.</w:t>
      </w:r>
      <w:r w:rsidRPr="00A7319E">
        <w:rPr>
          <w:sz w:val="28"/>
          <w:szCs w:val="28"/>
        </w:rPr>
        <w:t xml:space="preserve"> </w:t>
      </w:r>
      <w:r w:rsidRPr="00A7319E">
        <w:rPr>
          <w:i/>
          <w:sz w:val="28"/>
          <w:szCs w:val="28"/>
        </w:rPr>
        <w:t>League of Nations and National Minorities: An Experiment,</w:t>
      </w:r>
      <w:r w:rsidRPr="00A7319E">
        <w:rPr>
          <w:sz w:val="28"/>
          <w:szCs w:val="28"/>
        </w:rPr>
        <w:t xml:space="preserve"> translated from the Spanish by Eileen E. Brooke</w:t>
      </w:r>
      <w:r>
        <w:rPr>
          <w:sz w:val="28"/>
          <w:szCs w:val="28"/>
        </w:rPr>
        <w:t>.</w:t>
      </w:r>
      <w:r w:rsidRPr="00A7319E">
        <w:rPr>
          <w:sz w:val="28"/>
          <w:szCs w:val="28"/>
        </w:rPr>
        <w:t xml:space="preserve"> Washington: Carnegie Endowment for International Peace, 1945</w:t>
      </w:r>
      <w:r>
        <w:rPr>
          <w:i/>
          <w:sz w:val="28"/>
          <w:szCs w:val="28"/>
        </w:rPr>
        <w:t>.</w:t>
      </w:r>
    </w:p>
    <w:p w14:paraId="61DA9117" w14:textId="77777777" w:rsidR="00E13BCB" w:rsidRPr="00A7319E" w:rsidRDefault="00E13BCB" w:rsidP="00E13BCB">
      <w:pPr>
        <w:rPr>
          <w:i/>
          <w:sz w:val="28"/>
          <w:szCs w:val="28"/>
        </w:rPr>
      </w:pPr>
    </w:p>
    <w:p w14:paraId="18FD14FF" w14:textId="77777777" w:rsidR="00E13BCB" w:rsidRDefault="00E13BCB" w:rsidP="00E13BCB">
      <w:pPr>
        <w:rPr>
          <w:sz w:val="28"/>
          <w:szCs w:val="28"/>
        </w:rPr>
      </w:pPr>
      <w:r w:rsidRPr="00201212">
        <w:rPr>
          <w:sz w:val="28"/>
          <w:szCs w:val="28"/>
        </w:rPr>
        <w:t>Azcarate, Pablo de</w:t>
      </w:r>
      <w:r>
        <w:rPr>
          <w:sz w:val="28"/>
          <w:szCs w:val="28"/>
        </w:rPr>
        <w:t>.</w:t>
      </w:r>
      <w:r w:rsidRPr="00201212">
        <w:rPr>
          <w:sz w:val="28"/>
          <w:szCs w:val="28"/>
        </w:rPr>
        <w:t xml:space="preserve"> </w:t>
      </w:r>
      <w:r w:rsidRPr="00201212">
        <w:rPr>
          <w:i/>
          <w:iCs/>
          <w:sz w:val="28"/>
          <w:szCs w:val="28"/>
        </w:rPr>
        <w:t xml:space="preserve">Mission in Palestine: 1948-1952, </w:t>
      </w:r>
      <w:r w:rsidRPr="00201212">
        <w:rPr>
          <w:sz w:val="28"/>
          <w:szCs w:val="28"/>
        </w:rPr>
        <w:t>translated by Teener Hall</w:t>
      </w:r>
      <w:r>
        <w:rPr>
          <w:sz w:val="28"/>
          <w:szCs w:val="28"/>
        </w:rPr>
        <w:t>.</w:t>
      </w:r>
      <w:r w:rsidRPr="00201212">
        <w:rPr>
          <w:sz w:val="28"/>
          <w:szCs w:val="28"/>
        </w:rPr>
        <w:t xml:space="preserve"> Washington, D. C.: The Middle East Institute, 1966.  First published in Spanish in 1953.</w:t>
      </w:r>
    </w:p>
    <w:p w14:paraId="401B34DB" w14:textId="77777777" w:rsidR="00E13BCB" w:rsidRDefault="00E13BCB" w:rsidP="00E13BCB">
      <w:pPr>
        <w:rPr>
          <w:sz w:val="28"/>
          <w:szCs w:val="28"/>
        </w:rPr>
      </w:pPr>
    </w:p>
    <w:p w14:paraId="6EC79491" w14:textId="77777777" w:rsidR="00E13BCB" w:rsidRDefault="00E13BCB" w:rsidP="00E13BCB">
      <w:pPr>
        <w:rPr>
          <w:sz w:val="28"/>
          <w:szCs w:val="28"/>
        </w:rPr>
      </w:pPr>
      <w:r>
        <w:rPr>
          <w:sz w:val="28"/>
          <w:szCs w:val="28"/>
        </w:rPr>
        <w:t xml:space="preserve">Benvenisti, Meron, translated by Maxine Nunn. </w:t>
      </w:r>
      <w:r>
        <w:rPr>
          <w:i/>
          <w:sz w:val="28"/>
          <w:szCs w:val="28"/>
        </w:rPr>
        <w:t xml:space="preserve">City of Stone: The Hidden History of Jerusalem. </w:t>
      </w:r>
      <w:r>
        <w:rPr>
          <w:sz w:val="28"/>
          <w:szCs w:val="28"/>
        </w:rPr>
        <w:t>Berkley: University of California Press, 1996.</w:t>
      </w:r>
    </w:p>
    <w:p w14:paraId="799B64CD" w14:textId="77777777" w:rsidR="00E13BCB" w:rsidRDefault="00E13BCB" w:rsidP="00E13BCB">
      <w:pPr>
        <w:rPr>
          <w:sz w:val="28"/>
          <w:szCs w:val="28"/>
        </w:rPr>
      </w:pPr>
    </w:p>
    <w:p w14:paraId="5976FC7D" w14:textId="77777777" w:rsidR="00E13BCB" w:rsidRDefault="00E13BCB" w:rsidP="00E13BCB">
      <w:pPr>
        <w:rPr>
          <w:sz w:val="28"/>
          <w:szCs w:val="28"/>
        </w:rPr>
      </w:pPr>
      <w:r w:rsidRPr="00913E6F">
        <w:rPr>
          <w:sz w:val="28"/>
          <w:szCs w:val="28"/>
        </w:rPr>
        <w:t>Berger,</w:t>
      </w:r>
      <w:r>
        <w:rPr>
          <w:sz w:val="28"/>
          <w:szCs w:val="28"/>
        </w:rPr>
        <w:t xml:space="preserve"> </w:t>
      </w:r>
      <w:r w:rsidRPr="00913E6F">
        <w:rPr>
          <w:sz w:val="28"/>
          <w:szCs w:val="28"/>
        </w:rPr>
        <w:t xml:space="preserve">Peter </w:t>
      </w:r>
      <w:r>
        <w:rPr>
          <w:sz w:val="28"/>
          <w:szCs w:val="28"/>
        </w:rPr>
        <w:t>“</w:t>
      </w:r>
      <w:r w:rsidRPr="00913E6F">
        <w:rPr>
          <w:sz w:val="28"/>
          <w:szCs w:val="28"/>
        </w:rPr>
        <w:t>The Internationalization of Jerusalem</w:t>
      </w:r>
      <w:r>
        <w:rPr>
          <w:sz w:val="28"/>
          <w:szCs w:val="28"/>
        </w:rPr>
        <w:t>”</w:t>
      </w:r>
      <w:r w:rsidRPr="00913E6F">
        <w:rPr>
          <w:sz w:val="28"/>
          <w:szCs w:val="28"/>
        </w:rPr>
        <w:t>,</w:t>
      </w:r>
      <w:r>
        <w:rPr>
          <w:sz w:val="28"/>
          <w:szCs w:val="28"/>
        </w:rPr>
        <w:t>10</w:t>
      </w:r>
      <w:r w:rsidRPr="00913E6F">
        <w:rPr>
          <w:sz w:val="28"/>
          <w:szCs w:val="28"/>
        </w:rPr>
        <w:t xml:space="preserve"> </w:t>
      </w:r>
      <w:r w:rsidRPr="00913E6F">
        <w:rPr>
          <w:i/>
          <w:sz w:val="28"/>
          <w:szCs w:val="28"/>
        </w:rPr>
        <w:t>The Jurist</w:t>
      </w:r>
      <w:r w:rsidRPr="00913E6F">
        <w:rPr>
          <w:sz w:val="28"/>
          <w:szCs w:val="28"/>
        </w:rPr>
        <w:t xml:space="preserve"> 357 (1950)</w:t>
      </w:r>
      <w:r>
        <w:rPr>
          <w:sz w:val="28"/>
          <w:szCs w:val="28"/>
        </w:rPr>
        <w:t>: 357-387.</w:t>
      </w:r>
    </w:p>
    <w:p w14:paraId="44C13687" w14:textId="77777777" w:rsidR="00E13BCB" w:rsidRDefault="00E13BCB" w:rsidP="00E13BCB">
      <w:pPr>
        <w:rPr>
          <w:sz w:val="28"/>
          <w:szCs w:val="28"/>
        </w:rPr>
      </w:pPr>
    </w:p>
    <w:p w14:paraId="4355C132" w14:textId="77777777" w:rsidR="00E13BCB" w:rsidRDefault="00E13BCB" w:rsidP="00E13BCB">
      <w:pPr>
        <w:rPr>
          <w:sz w:val="28"/>
          <w:szCs w:val="28"/>
        </w:rPr>
      </w:pPr>
      <w:r w:rsidRPr="00C90217">
        <w:rPr>
          <w:sz w:val="28"/>
          <w:szCs w:val="28"/>
        </w:rPr>
        <w:t>Berman, Eli</w:t>
      </w:r>
      <w:r>
        <w:rPr>
          <w:sz w:val="28"/>
          <w:szCs w:val="28"/>
        </w:rPr>
        <w:t>.</w:t>
      </w:r>
      <w:r w:rsidRPr="00C90217">
        <w:rPr>
          <w:sz w:val="28"/>
          <w:szCs w:val="28"/>
        </w:rPr>
        <w:t xml:space="preserve"> </w:t>
      </w:r>
      <w:r w:rsidRPr="00C90217">
        <w:rPr>
          <w:i/>
          <w:sz w:val="28"/>
          <w:szCs w:val="28"/>
        </w:rPr>
        <w:t>Radical, Religious, and Violent: The New Economics of Terrorism</w:t>
      </w:r>
      <w:r>
        <w:rPr>
          <w:i/>
          <w:sz w:val="28"/>
          <w:szCs w:val="28"/>
        </w:rPr>
        <w:t>.</w:t>
      </w:r>
      <w:r w:rsidRPr="00C90217">
        <w:rPr>
          <w:i/>
          <w:sz w:val="28"/>
          <w:szCs w:val="28"/>
        </w:rPr>
        <w:t xml:space="preserve"> </w:t>
      </w:r>
      <w:r w:rsidRPr="00C90217">
        <w:rPr>
          <w:sz w:val="28"/>
          <w:szCs w:val="28"/>
        </w:rPr>
        <w:t>Cambridge, Mass: The MIT Press, 2009</w:t>
      </w:r>
      <w:r>
        <w:rPr>
          <w:sz w:val="28"/>
          <w:szCs w:val="28"/>
        </w:rPr>
        <w:t>.</w:t>
      </w:r>
    </w:p>
    <w:p w14:paraId="4BE16112" w14:textId="77777777" w:rsidR="00E13BCB" w:rsidRDefault="00E13BCB" w:rsidP="00E13BCB">
      <w:pPr>
        <w:rPr>
          <w:sz w:val="28"/>
          <w:szCs w:val="28"/>
        </w:rPr>
      </w:pPr>
    </w:p>
    <w:p w14:paraId="2055DB70" w14:textId="77777777" w:rsidR="00E13BCB" w:rsidRDefault="00E13BCB" w:rsidP="00E13BCB">
      <w:pPr>
        <w:rPr>
          <w:sz w:val="28"/>
          <w:szCs w:val="28"/>
        </w:rPr>
      </w:pPr>
      <w:r w:rsidRPr="00E9458E">
        <w:rPr>
          <w:sz w:val="28"/>
          <w:szCs w:val="28"/>
        </w:rPr>
        <w:t xml:space="preserve">Brand, Laurie A. </w:t>
      </w:r>
      <w:r w:rsidRPr="007D0197">
        <w:rPr>
          <w:i/>
          <w:sz w:val="28"/>
          <w:szCs w:val="28"/>
        </w:rPr>
        <w:t>Palestine in the Arab World: Institution Building and the Search for a State</w:t>
      </w:r>
      <w:r>
        <w:rPr>
          <w:sz w:val="28"/>
          <w:szCs w:val="28"/>
        </w:rPr>
        <w:t>.</w:t>
      </w:r>
      <w:r w:rsidRPr="00E9458E">
        <w:rPr>
          <w:sz w:val="28"/>
          <w:szCs w:val="28"/>
        </w:rPr>
        <w:t xml:space="preserve"> New York: Columbia University Press, 1988</w:t>
      </w:r>
      <w:r>
        <w:rPr>
          <w:sz w:val="28"/>
          <w:szCs w:val="28"/>
        </w:rPr>
        <w:t>.</w:t>
      </w:r>
    </w:p>
    <w:p w14:paraId="18D020BF" w14:textId="77777777" w:rsidR="00E13BCB" w:rsidRDefault="00E13BCB" w:rsidP="00E13BCB">
      <w:pPr>
        <w:rPr>
          <w:sz w:val="28"/>
          <w:szCs w:val="28"/>
        </w:rPr>
      </w:pPr>
    </w:p>
    <w:p w14:paraId="0384F6B0" w14:textId="77777777" w:rsidR="00E13BCB" w:rsidRPr="007A6867" w:rsidRDefault="00E13BCB" w:rsidP="00E13BCB">
      <w:pPr>
        <w:rPr>
          <w:sz w:val="28"/>
          <w:szCs w:val="28"/>
        </w:rPr>
      </w:pPr>
      <w:r w:rsidRPr="007A6867">
        <w:rPr>
          <w:sz w:val="28"/>
          <w:szCs w:val="28"/>
        </w:rPr>
        <w:t>Buehrig, Edward H</w:t>
      </w:r>
      <w:r>
        <w:rPr>
          <w:sz w:val="28"/>
          <w:szCs w:val="28"/>
        </w:rPr>
        <w:t>.</w:t>
      </w:r>
      <w:r w:rsidRPr="007A6867">
        <w:rPr>
          <w:sz w:val="28"/>
          <w:szCs w:val="28"/>
        </w:rPr>
        <w:t xml:space="preserve"> </w:t>
      </w:r>
      <w:r w:rsidRPr="007A6867">
        <w:rPr>
          <w:i/>
          <w:sz w:val="28"/>
          <w:szCs w:val="28"/>
        </w:rPr>
        <w:t>The UN and the Palestinian Refugees: A Study in Nonterritorial Administration</w:t>
      </w:r>
      <w:r>
        <w:rPr>
          <w:i/>
          <w:sz w:val="28"/>
          <w:szCs w:val="28"/>
        </w:rPr>
        <w:t>.</w:t>
      </w:r>
      <w:r w:rsidRPr="007A6867">
        <w:rPr>
          <w:i/>
          <w:sz w:val="28"/>
          <w:szCs w:val="28"/>
        </w:rPr>
        <w:t xml:space="preserve"> </w:t>
      </w:r>
      <w:r w:rsidRPr="007A6867">
        <w:rPr>
          <w:sz w:val="28"/>
          <w:szCs w:val="28"/>
        </w:rPr>
        <w:t>Bloomington: Indiana U Press</w:t>
      </w:r>
      <w:r w:rsidRPr="007A6867">
        <w:rPr>
          <w:i/>
          <w:sz w:val="28"/>
          <w:szCs w:val="28"/>
        </w:rPr>
        <w:t xml:space="preserve">, </w:t>
      </w:r>
      <w:r w:rsidRPr="007A6867">
        <w:rPr>
          <w:sz w:val="28"/>
          <w:szCs w:val="28"/>
        </w:rPr>
        <w:t>1971</w:t>
      </w:r>
      <w:r>
        <w:rPr>
          <w:sz w:val="28"/>
          <w:szCs w:val="28"/>
        </w:rPr>
        <w:t>.</w:t>
      </w:r>
    </w:p>
    <w:p w14:paraId="1EF8735D" w14:textId="77777777" w:rsidR="00E13BCB" w:rsidRDefault="00E13BCB" w:rsidP="00E13BCB">
      <w:pPr>
        <w:rPr>
          <w:sz w:val="28"/>
          <w:szCs w:val="28"/>
        </w:rPr>
      </w:pPr>
    </w:p>
    <w:p w14:paraId="3C6E7DD1" w14:textId="77777777" w:rsidR="00E13BCB" w:rsidRDefault="00E13BCB" w:rsidP="00E13BCB">
      <w:pPr>
        <w:rPr>
          <w:sz w:val="28"/>
          <w:szCs w:val="28"/>
        </w:rPr>
      </w:pPr>
      <w:r w:rsidRPr="00490FED">
        <w:rPr>
          <w:sz w:val="28"/>
          <w:szCs w:val="28"/>
        </w:rPr>
        <w:t>Eban, Abba</w:t>
      </w:r>
      <w:r>
        <w:rPr>
          <w:sz w:val="28"/>
          <w:szCs w:val="28"/>
        </w:rPr>
        <w:t>.</w:t>
      </w:r>
      <w:r w:rsidRPr="00490FED">
        <w:rPr>
          <w:sz w:val="28"/>
          <w:szCs w:val="28"/>
        </w:rPr>
        <w:t xml:space="preserve"> </w:t>
      </w:r>
      <w:r w:rsidRPr="00490FED">
        <w:rPr>
          <w:i/>
          <w:sz w:val="28"/>
          <w:szCs w:val="28"/>
        </w:rPr>
        <w:t>Personal Witness: Israel Through My Eyes</w:t>
      </w:r>
      <w:r>
        <w:rPr>
          <w:i/>
          <w:sz w:val="28"/>
          <w:szCs w:val="28"/>
        </w:rPr>
        <w:t>.</w:t>
      </w:r>
      <w:r w:rsidRPr="00490FED">
        <w:rPr>
          <w:i/>
          <w:sz w:val="28"/>
          <w:szCs w:val="28"/>
        </w:rPr>
        <w:t xml:space="preserve"> </w:t>
      </w:r>
      <w:r w:rsidRPr="00490FED">
        <w:rPr>
          <w:sz w:val="28"/>
          <w:szCs w:val="28"/>
        </w:rPr>
        <w:t>NY, NY: G.P. Putnam’s Sons, 1992</w:t>
      </w:r>
      <w:r>
        <w:rPr>
          <w:sz w:val="28"/>
          <w:szCs w:val="28"/>
        </w:rPr>
        <w:t>.</w:t>
      </w:r>
    </w:p>
    <w:p w14:paraId="75DD9C41" w14:textId="77777777" w:rsidR="00E13BCB" w:rsidRDefault="00E13BCB" w:rsidP="00E13BCB">
      <w:pPr>
        <w:rPr>
          <w:sz w:val="28"/>
          <w:szCs w:val="28"/>
        </w:rPr>
      </w:pPr>
    </w:p>
    <w:p w14:paraId="51C067F1" w14:textId="77777777" w:rsidR="00E13BCB" w:rsidRDefault="00E13BCB" w:rsidP="00E13BCB">
      <w:pPr>
        <w:rPr>
          <w:sz w:val="28"/>
          <w:szCs w:val="28"/>
        </w:rPr>
      </w:pPr>
      <w:r w:rsidRPr="001360C8">
        <w:rPr>
          <w:sz w:val="28"/>
          <w:szCs w:val="28"/>
        </w:rPr>
        <w:t>El-Farra,</w:t>
      </w:r>
      <w:r>
        <w:rPr>
          <w:sz w:val="28"/>
          <w:szCs w:val="28"/>
        </w:rPr>
        <w:t xml:space="preserve"> </w:t>
      </w:r>
      <w:r w:rsidRPr="001360C8">
        <w:rPr>
          <w:sz w:val="28"/>
          <w:szCs w:val="28"/>
        </w:rPr>
        <w:t xml:space="preserve">Muhammad H.  </w:t>
      </w:r>
      <w:r>
        <w:rPr>
          <w:sz w:val="28"/>
          <w:szCs w:val="28"/>
        </w:rPr>
        <w:t>“</w:t>
      </w:r>
      <w:r w:rsidRPr="001360C8">
        <w:rPr>
          <w:sz w:val="28"/>
          <w:szCs w:val="28"/>
        </w:rPr>
        <w:t>The Role of the United Nations Vis-a-Vis the Palestine Question</w:t>
      </w:r>
      <w:r>
        <w:rPr>
          <w:sz w:val="28"/>
          <w:szCs w:val="28"/>
        </w:rPr>
        <w:t>”</w:t>
      </w:r>
      <w:r w:rsidRPr="001360C8">
        <w:rPr>
          <w:sz w:val="28"/>
          <w:szCs w:val="28"/>
        </w:rPr>
        <w:t xml:space="preserve">, 33 </w:t>
      </w:r>
      <w:r w:rsidRPr="001360C8">
        <w:rPr>
          <w:i/>
          <w:sz w:val="28"/>
          <w:szCs w:val="28"/>
        </w:rPr>
        <w:t>Law &amp; Contemporary Problems</w:t>
      </w:r>
      <w:r w:rsidRPr="001360C8">
        <w:rPr>
          <w:sz w:val="28"/>
          <w:szCs w:val="28"/>
        </w:rPr>
        <w:t>. 68 (1968)</w:t>
      </w:r>
      <w:r>
        <w:rPr>
          <w:sz w:val="28"/>
          <w:szCs w:val="28"/>
        </w:rPr>
        <w:t>: 68-77.</w:t>
      </w:r>
    </w:p>
    <w:p w14:paraId="5D606BFB" w14:textId="77777777" w:rsidR="00E13BCB" w:rsidRDefault="00E13BCB" w:rsidP="00E13BCB">
      <w:pPr>
        <w:rPr>
          <w:sz w:val="28"/>
          <w:szCs w:val="28"/>
        </w:rPr>
      </w:pPr>
    </w:p>
    <w:p w14:paraId="571B5772" w14:textId="77777777" w:rsidR="00E13BCB" w:rsidRPr="00C075F0" w:rsidRDefault="00E13BCB" w:rsidP="00E13BCB">
      <w:pPr>
        <w:rPr>
          <w:sz w:val="28"/>
          <w:szCs w:val="28"/>
        </w:rPr>
      </w:pPr>
      <w:r w:rsidRPr="00C075F0">
        <w:rPr>
          <w:sz w:val="28"/>
          <w:szCs w:val="28"/>
        </w:rPr>
        <w:t xml:space="preserve">Fink, Carole. </w:t>
      </w:r>
      <w:r w:rsidRPr="00C075F0">
        <w:rPr>
          <w:i/>
          <w:sz w:val="28"/>
          <w:szCs w:val="28"/>
        </w:rPr>
        <w:t>Defending the Rights of Others: The Great Powers, The Jews, and International Minority Protection, 1878-1938</w:t>
      </w:r>
      <w:r w:rsidRPr="00C075F0">
        <w:rPr>
          <w:sz w:val="28"/>
          <w:szCs w:val="28"/>
        </w:rPr>
        <w:t>. Cambridge: Cambridge University Press, 2004.</w:t>
      </w:r>
    </w:p>
    <w:p w14:paraId="4EF69365" w14:textId="77777777" w:rsidR="00E13BCB" w:rsidRDefault="00E13BCB" w:rsidP="00E13BCB">
      <w:pPr>
        <w:rPr>
          <w:sz w:val="28"/>
          <w:szCs w:val="28"/>
        </w:rPr>
      </w:pPr>
    </w:p>
    <w:p w14:paraId="64816181" w14:textId="77777777" w:rsidR="00E13BCB" w:rsidRPr="00E9458E" w:rsidRDefault="00E13BCB" w:rsidP="00E13BCB">
      <w:pPr>
        <w:rPr>
          <w:sz w:val="28"/>
          <w:szCs w:val="28"/>
        </w:rPr>
      </w:pPr>
      <w:r w:rsidRPr="00560C31">
        <w:rPr>
          <w:sz w:val="28"/>
          <w:szCs w:val="28"/>
        </w:rPr>
        <w:t>Gerson</w:t>
      </w:r>
      <w:r>
        <w:rPr>
          <w:sz w:val="28"/>
          <w:szCs w:val="28"/>
        </w:rPr>
        <w:t xml:space="preserve">, </w:t>
      </w:r>
      <w:r w:rsidRPr="00560C31">
        <w:rPr>
          <w:sz w:val="28"/>
          <w:szCs w:val="28"/>
        </w:rPr>
        <w:t>Allen</w:t>
      </w:r>
      <w:r>
        <w:rPr>
          <w:sz w:val="28"/>
          <w:szCs w:val="28"/>
        </w:rPr>
        <w:t xml:space="preserve">. </w:t>
      </w:r>
      <w:r w:rsidRPr="00560C31">
        <w:rPr>
          <w:sz w:val="28"/>
          <w:szCs w:val="28"/>
        </w:rPr>
        <w:t xml:space="preserve"> </w:t>
      </w:r>
      <w:r w:rsidRPr="00560C31">
        <w:rPr>
          <w:i/>
          <w:sz w:val="28"/>
          <w:szCs w:val="28"/>
        </w:rPr>
        <w:t>Israel, the West Bank and International Law</w:t>
      </w:r>
      <w:r>
        <w:rPr>
          <w:sz w:val="28"/>
          <w:szCs w:val="28"/>
        </w:rPr>
        <w:t xml:space="preserve">. </w:t>
      </w:r>
      <w:r w:rsidRPr="00560C31">
        <w:rPr>
          <w:sz w:val="28"/>
          <w:szCs w:val="28"/>
        </w:rPr>
        <w:t>NY, NY: Frank Cass, 1978</w:t>
      </w:r>
      <w:r>
        <w:rPr>
          <w:sz w:val="28"/>
          <w:szCs w:val="28"/>
        </w:rPr>
        <w:t>.</w:t>
      </w:r>
    </w:p>
    <w:p w14:paraId="52868D92" w14:textId="77777777" w:rsidR="00E13BCB" w:rsidRDefault="00E13BCB" w:rsidP="00E13BCB">
      <w:pPr>
        <w:rPr>
          <w:sz w:val="28"/>
          <w:szCs w:val="28"/>
        </w:rPr>
      </w:pPr>
    </w:p>
    <w:p w14:paraId="0EF1EF9C" w14:textId="77777777" w:rsidR="00E13BCB" w:rsidRDefault="00E13BCB" w:rsidP="00E13BCB">
      <w:pPr>
        <w:rPr>
          <w:sz w:val="28"/>
          <w:szCs w:val="28"/>
        </w:rPr>
      </w:pPr>
      <w:r w:rsidRPr="00C25557">
        <w:rPr>
          <w:sz w:val="28"/>
          <w:szCs w:val="28"/>
        </w:rPr>
        <w:t>Haas</w:t>
      </w:r>
      <w:r>
        <w:rPr>
          <w:sz w:val="28"/>
          <w:szCs w:val="28"/>
        </w:rPr>
        <w:t xml:space="preserve">, </w:t>
      </w:r>
      <w:r w:rsidRPr="00C25557">
        <w:rPr>
          <w:sz w:val="28"/>
          <w:szCs w:val="28"/>
        </w:rPr>
        <w:t>Ernst B.</w:t>
      </w:r>
      <w:r>
        <w:rPr>
          <w:sz w:val="28"/>
          <w:szCs w:val="28"/>
        </w:rPr>
        <w:t xml:space="preserve"> “</w:t>
      </w:r>
      <w:r w:rsidRPr="00C25557">
        <w:rPr>
          <w:sz w:val="28"/>
          <w:szCs w:val="28"/>
        </w:rPr>
        <w:t>The Attempt to Terminate Colonialism: Acceptance of the United Nations Trusteeship System</w:t>
      </w:r>
      <w:r>
        <w:rPr>
          <w:sz w:val="28"/>
          <w:szCs w:val="28"/>
        </w:rPr>
        <w:t xml:space="preserve">” </w:t>
      </w:r>
      <w:r w:rsidRPr="00C25557">
        <w:rPr>
          <w:i/>
          <w:sz w:val="28"/>
          <w:szCs w:val="28"/>
        </w:rPr>
        <w:t>International Organization</w:t>
      </w:r>
      <w:r>
        <w:rPr>
          <w:i/>
          <w:sz w:val="28"/>
          <w:szCs w:val="28"/>
        </w:rPr>
        <w:t xml:space="preserve"> </w:t>
      </w:r>
      <w:r w:rsidRPr="00C25557">
        <w:rPr>
          <w:sz w:val="28"/>
          <w:szCs w:val="28"/>
        </w:rPr>
        <w:t xml:space="preserve">7, </w:t>
      </w:r>
      <w:r>
        <w:rPr>
          <w:sz w:val="28"/>
          <w:szCs w:val="28"/>
        </w:rPr>
        <w:t>n</w:t>
      </w:r>
      <w:r w:rsidRPr="00C25557">
        <w:rPr>
          <w:sz w:val="28"/>
          <w:szCs w:val="28"/>
        </w:rPr>
        <w:t>o. 1 (Feb., 1953)</w:t>
      </w:r>
      <w:r>
        <w:rPr>
          <w:sz w:val="28"/>
          <w:szCs w:val="28"/>
        </w:rPr>
        <w:t>:</w:t>
      </w:r>
      <w:r w:rsidRPr="00C25557">
        <w:rPr>
          <w:sz w:val="28"/>
          <w:szCs w:val="28"/>
        </w:rPr>
        <w:t xml:space="preserve"> 1-21</w:t>
      </w:r>
      <w:r>
        <w:rPr>
          <w:sz w:val="28"/>
          <w:szCs w:val="28"/>
        </w:rPr>
        <w:t>.</w:t>
      </w:r>
    </w:p>
    <w:p w14:paraId="7281F7C7" w14:textId="77777777" w:rsidR="00E13BCB" w:rsidRDefault="00E13BCB" w:rsidP="00E13BCB">
      <w:pPr>
        <w:rPr>
          <w:sz w:val="28"/>
          <w:szCs w:val="28"/>
        </w:rPr>
      </w:pPr>
    </w:p>
    <w:p w14:paraId="7F0B91C3" w14:textId="77777777" w:rsidR="00E13BCB" w:rsidRDefault="00E13BCB" w:rsidP="00E13BCB">
      <w:pPr>
        <w:rPr>
          <w:sz w:val="28"/>
          <w:szCs w:val="28"/>
        </w:rPr>
      </w:pPr>
      <w:r w:rsidRPr="00150BD5">
        <w:rPr>
          <w:sz w:val="28"/>
          <w:szCs w:val="28"/>
        </w:rPr>
        <w:t xml:space="preserve">Hall, Duncan H. “The International Frontier” </w:t>
      </w:r>
      <w:r w:rsidRPr="00150BD5">
        <w:rPr>
          <w:i/>
          <w:sz w:val="28"/>
          <w:szCs w:val="28"/>
        </w:rPr>
        <w:t>The American Journal of International Law</w:t>
      </w:r>
      <w:r w:rsidRPr="00150BD5">
        <w:rPr>
          <w:sz w:val="28"/>
          <w:szCs w:val="28"/>
        </w:rPr>
        <w:t xml:space="preserve"> 42, No. 1 (Jan., 1948)</w:t>
      </w:r>
      <w:r>
        <w:rPr>
          <w:sz w:val="28"/>
          <w:szCs w:val="28"/>
        </w:rPr>
        <w:t>:</w:t>
      </w:r>
      <w:r w:rsidRPr="00150BD5">
        <w:rPr>
          <w:sz w:val="28"/>
          <w:szCs w:val="28"/>
        </w:rPr>
        <w:t xml:space="preserve"> 42-65</w:t>
      </w:r>
      <w:r>
        <w:rPr>
          <w:sz w:val="28"/>
          <w:szCs w:val="28"/>
        </w:rPr>
        <w:t>.</w:t>
      </w:r>
    </w:p>
    <w:p w14:paraId="79E3EB6F" w14:textId="77777777" w:rsidR="00E13BCB" w:rsidRDefault="00E13BCB" w:rsidP="00E13BCB">
      <w:pPr>
        <w:rPr>
          <w:sz w:val="28"/>
          <w:szCs w:val="28"/>
        </w:rPr>
      </w:pPr>
    </w:p>
    <w:p w14:paraId="37CBFC6F" w14:textId="77777777" w:rsidR="00E13BCB" w:rsidRPr="0044710D" w:rsidRDefault="00E13BCB" w:rsidP="00E13BCB">
      <w:pPr>
        <w:rPr>
          <w:i/>
          <w:sz w:val="28"/>
          <w:szCs w:val="28"/>
        </w:rPr>
      </w:pPr>
      <w:r w:rsidRPr="0044710D">
        <w:rPr>
          <w:sz w:val="28"/>
          <w:szCs w:val="28"/>
        </w:rPr>
        <w:t>Hall, H. Duncan</w:t>
      </w:r>
      <w:r>
        <w:rPr>
          <w:sz w:val="28"/>
          <w:szCs w:val="28"/>
        </w:rPr>
        <w:t>.</w:t>
      </w:r>
      <w:r w:rsidRPr="0044710D">
        <w:rPr>
          <w:sz w:val="28"/>
          <w:szCs w:val="28"/>
        </w:rPr>
        <w:t xml:space="preserve"> </w:t>
      </w:r>
      <w:r w:rsidRPr="0044710D">
        <w:rPr>
          <w:i/>
          <w:sz w:val="28"/>
          <w:szCs w:val="28"/>
        </w:rPr>
        <w:t>Mandates, Dependencies and Trusteeship</w:t>
      </w:r>
      <w:r>
        <w:rPr>
          <w:i/>
          <w:sz w:val="28"/>
          <w:szCs w:val="28"/>
        </w:rPr>
        <w:t>.</w:t>
      </w:r>
      <w:r w:rsidRPr="0044710D">
        <w:rPr>
          <w:i/>
          <w:sz w:val="28"/>
          <w:szCs w:val="28"/>
        </w:rPr>
        <w:t xml:space="preserve"> </w:t>
      </w:r>
      <w:r w:rsidRPr="0044710D">
        <w:rPr>
          <w:sz w:val="28"/>
          <w:szCs w:val="28"/>
        </w:rPr>
        <w:t>Washington, DC: Carnegie Endowment for International Peace, 1948</w:t>
      </w:r>
      <w:r>
        <w:rPr>
          <w:sz w:val="28"/>
          <w:szCs w:val="28"/>
        </w:rPr>
        <w:t>.</w:t>
      </w:r>
      <w:r w:rsidRPr="0044710D">
        <w:rPr>
          <w:i/>
          <w:sz w:val="28"/>
          <w:szCs w:val="28"/>
        </w:rPr>
        <w:t xml:space="preserve"> </w:t>
      </w:r>
    </w:p>
    <w:p w14:paraId="279FF296" w14:textId="77777777" w:rsidR="00E13BCB" w:rsidRDefault="00E13BCB" w:rsidP="00E13BCB">
      <w:pPr>
        <w:rPr>
          <w:sz w:val="28"/>
          <w:szCs w:val="28"/>
        </w:rPr>
      </w:pPr>
    </w:p>
    <w:p w14:paraId="3E2A2A2D" w14:textId="77777777" w:rsidR="00E13BCB" w:rsidRDefault="00E13BCB" w:rsidP="00E13BCB">
      <w:pPr>
        <w:rPr>
          <w:sz w:val="28"/>
          <w:szCs w:val="28"/>
        </w:rPr>
      </w:pPr>
      <w:r w:rsidRPr="00BC063B">
        <w:rPr>
          <w:sz w:val="28"/>
          <w:szCs w:val="28"/>
        </w:rPr>
        <w:t>Hassouna, Hussein</w:t>
      </w:r>
      <w:r>
        <w:rPr>
          <w:sz w:val="28"/>
          <w:szCs w:val="28"/>
        </w:rPr>
        <w:t>.</w:t>
      </w:r>
      <w:r w:rsidRPr="00BC063B">
        <w:rPr>
          <w:sz w:val="28"/>
          <w:szCs w:val="28"/>
        </w:rPr>
        <w:t xml:space="preserve"> </w:t>
      </w:r>
      <w:r w:rsidRPr="00BC063B">
        <w:rPr>
          <w:i/>
          <w:sz w:val="28"/>
          <w:szCs w:val="28"/>
        </w:rPr>
        <w:t>The League of Arab States and Regional Disputes: a Study of M</w:t>
      </w:r>
      <w:r>
        <w:rPr>
          <w:i/>
          <w:sz w:val="28"/>
          <w:szCs w:val="28"/>
        </w:rPr>
        <w:t xml:space="preserve">iddle </w:t>
      </w:r>
      <w:r w:rsidRPr="00BC063B">
        <w:rPr>
          <w:i/>
          <w:sz w:val="28"/>
          <w:szCs w:val="28"/>
        </w:rPr>
        <w:t>E</w:t>
      </w:r>
      <w:r>
        <w:rPr>
          <w:i/>
          <w:sz w:val="28"/>
          <w:szCs w:val="28"/>
        </w:rPr>
        <w:t>ast</w:t>
      </w:r>
      <w:r w:rsidRPr="00BC063B">
        <w:rPr>
          <w:i/>
          <w:sz w:val="28"/>
          <w:szCs w:val="28"/>
        </w:rPr>
        <w:t xml:space="preserve"> Conflicts</w:t>
      </w:r>
      <w:r>
        <w:rPr>
          <w:i/>
          <w:sz w:val="28"/>
          <w:szCs w:val="28"/>
        </w:rPr>
        <w:t>.</w:t>
      </w:r>
      <w:r w:rsidRPr="00BC063B">
        <w:rPr>
          <w:i/>
          <w:sz w:val="28"/>
          <w:szCs w:val="28"/>
        </w:rPr>
        <w:t xml:space="preserve"> </w:t>
      </w:r>
      <w:r w:rsidRPr="00BC063B">
        <w:rPr>
          <w:sz w:val="28"/>
          <w:szCs w:val="28"/>
        </w:rPr>
        <w:t>Dobbs Ferry, NY: Oceana Publications, 1975</w:t>
      </w:r>
      <w:r>
        <w:rPr>
          <w:sz w:val="28"/>
          <w:szCs w:val="28"/>
        </w:rPr>
        <w:t>.</w:t>
      </w:r>
    </w:p>
    <w:p w14:paraId="72A0D756" w14:textId="77777777" w:rsidR="00E13BCB" w:rsidRDefault="00E13BCB" w:rsidP="00E13BCB">
      <w:pPr>
        <w:rPr>
          <w:sz w:val="28"/>
          <w:szCs w:val="28"/>
        </w:rPr>
      </w:pPr>
    </w:p>
    <w:p w14:paraId="1F71FA07" w14:textId="77777777" w:rsidR="00E13BCB" w:rsidRDefault="00E13BCB" w:rsidP="00E13BCB">
      <w:pPr>
        <w:rPr>
          <w:sz w:val="28"/>
          <w:szCs w:val="28"/>
        </w:rPr>
      </w:pPr>
      <w:r w:rsidRPr="00444FA1">
        <w:rPr>
          <w:sz w:val="28"/>
          <w:szCs w:val="28"/>
        </w:rPr>
        <w:t>Hill, Chesney</w:t>
      </w:r>
      <w:r>
        <w:rPr>
          <w:sz w:val="28"/>
          <w:szCs w:val="28"/>
        </w:rPr>
        <w:t>.</w:t>
      </w:r>
      <w:r w:rsidRPr="00444FA1">
        <w:rPr>
          <w:sz w:val="28"/>
          <w:szCs w:val="28"/>
        </w:rPr>
        <w:t xml:space="preserve"> "Recent Policies of Non-Recognition</w:t>
      </w:r>
      <w:r>
        <w:rPr>
          <w:sz w:val="28"/>
          <w:szCs w:val="28"/>
        </w:rPr>
        <w:t>.</w:t>
      </w:r>
      <w:r w:rsidRPr="00444FA1">
        <w:rPr>
          <w:sz w:val="28"/>
          <w:szCs w:val="28"/>
        </w:rPr>
        <w:t xml:space="preserve">" </w:t>
      </w:r>
      <w:r w:rsidRPr="00444FA1">
        <w:rPr>
          <w:i/>
          <w:iCs/>
          <w:sz w:val="28"/>
          <w:szCs w:val="28"/>
        </w:rPr>
        <w:t>International Conciliation</w:t>
      </w:r>
      <w:r w:rsidRPr="00444FA1">
        <w:rPr>
          <w:sz w:val="28"/>
          <w:szCs w:val="28"/>
        </w:rPr>
        <w:t xml:space="preserve"> 15 (1933):359-482.</w:t>
      </w:r>
    </w:p>
    <w:p w14:paraId="729194B7" w14:textId="77777777" w:rsidR="00E13BCB" w:rsidRDefault="00E13BCB" w:rsidP="00E13BCB">
      <w:pPr>
        <w:rPr>
          <w:sz w:val="28"/>
          <w:szCs w:val="28"/>
        </w:rPr>
      </w:pPr>
    </w:p>
    <w:p w14:paraId="560316D5" w14:textId="77777777" w:rsidR="00E13BCB" w:rsidRDefault="00E13BCB" w:rsidP="00E13BCB">
      <w:pPr>
        <w:rPr>
          <w:sz w:val="28"/>
          <w:szCs w:val="28"/>
        </w:rPr>
      </w:pPr>
      <w:r w:rsidRPr="00D34B9B">
        <w:rPr>
          <w:sz w:val="28"/>
          <w:szCs w:val="28"/>
        </w:rPr>
        <w:t>Ilan, Amitzur</w:t>
      </w:r>
      <w:r>
        <w:rPr>
          <w:sz w:val="28"/>
          <w:szCs w:val="28"/>
        </w:rPr>
        <w:t>.</w:t>
      </w:r>
      <w:r w:rsidRPr="00D34B9B">
        <w:rPr>
          <w:sz w:val="28"/>
          <w:szCs w:val="28"/>
        </w:rPr>
        <w:t xml:space="preserve"> </w:t>
      </w:r>
      <w:r w:rsidRPr="00D34B9B">
        <w:rPr>
          <w:i/>
          <w:sz w:val="28"/>
          <w:szCs w:val="28"/>
        </w:rPr>
        <w:t>Bernadotte in Palestine, 1948: A Study in Contemporary Knight-Errantry</w:t>
      </w:r>
      <w:r>
        <w:rPr>
          <w:i/>
          <w:sz w:val="28"/>
          <w:szCs w:val="28"/>
        </w:rPr>
        <w:t>.</w:t>
      </w:r>
      <w:r w:rsidRPr="00D34B9B">
        <w:rPr>
          <w:i/>
          <w:sz w:val="28"/>
          <w:szCs w:val="28"/>
        </w:rPr>
        <w:t xml:space="preserve"> </w:t>
      </w:r>
      <w:r w:rsidRPr="00D34B9B">
        <w:rPr>
          <w:sz w:val="28"/>
          <w:szCs w:val="28"/>
        </w:rPr>
        <w:t>New York: St Martin’s Press, 1989</w:t>
      </w:r>
      <w:r>
        <w:rPr>
          <w:sz w:val="28"/>
          <w:szCs w:val="28"/>
        </w:rPr>
        <w:t>.</w:t>
      </w:r>
    </w:p>
    <w:p w14:paraId="4F8FC803" w14:textId="77777777" w:rsidR="00E13BCB" w:rsidRDefault="00E13BCB" w:rsidP="00E13BCB">
      <w:pPr>
        <w:rPr>
          <w:sz w:val="28"/>
          <w:szCs w:val="28"/>
        </w:rPr>
      </w:pPr>
    </w:p>
    <w:p w14:paraId="59F904BD" w14:textId="77777777" w:rsidR="00E13BCB" w:rsidRDefault="00E13BCB" w:rsidP="00E13BCB">
      <w:pPr>
        <w:rPr>
          <w:sz w:val="28"/>
          <w:szCs w:val="28"/>
        </w:rPr>
      </w:pPr>
      <w:r w:rsidRPr="00444FA1">
        <w:rPr>
          <w:sz w:val="28"/>
          <w:szCs w:val="28"/>
        </w:rPr>
        <w:t>Kelsen,</w:t>
      </w:r>
      <w:r>
        <w:rPr>
          <w:sz w:val="28"/>
          <w:szCs w:val="28"/>
        </w:rPr>
        <w:t xml:space="preserve"> </w:t>
      </w:r>
      <w:r w:rsidRPr="00444FA1">
        <w:rPr>
          <w:sz w:val="28"/>
          <w:szCs w:val="28"/>
        </w:rPr>
        <w:t>Hans</w:t>
      </w:r>
      <w:r>
        <w:rPr>
          <w:sz w:val="28"/>
          <w:szCs w:val="28"/>
        </w:rPr>
        <w:t>.</w:t>
      </w:r>
      <w:r w:rsidRPr="00444FA1">
        <w:rPr>
          <w:sz w:val="28"/>
          <w:szCs w:val="28"/>
        </w:rPr>
        <w:t xml:space="preserve"> “Recognition in International Law: Theoretical Observations</w:t>
      </w:r>
      <w:r>
        <w:rPr>
          <w:sz w:val="28"/>
          <w:szCs w:val="28"/>
        </w:rPr>
        <w:t>.</w:t>
      </w:r>
      <w:r w:rsidRPr="00444FA1">
        <w:rPr>
          <w:sz w:val="28"/>
          <w:szCs w:val="28"/>
        </w:rPr>
        <w:t xml:space="preserve">” </w:t>
      </w:r>
      <w:r w:rsidRPr="00444FA1">
        <w:rPr>
          <w:i/>
          <w:sz w:val="28"/>
          <w:szCs w:val="28"/>
        </w:rPr>
        <w:t>The American Journal of International Law</w:t>
      </w:r>
      <w:r w:rsidRPr="00444FA1">
        <w:rPr>
          <w:sz w:val="28"/>
          <w:szCs w:val="28"/>
        </w:rPr>
        <w:t xml:space="preserve"> 35, No. 4 (Oct., 1941)</w:t>
      </w:r>
      <w:r>
        <w:rPr>
          <w:sz w:val="28"/>
          <w:szCs w:val="28"/>
        </w:rPr>
        <w:t>: 605-617.</w:t>
      </w:r>
    </w:p>
    <w:p w14:paraId="4137A4D8" w14:textId="77777777" w:rsidR="00E13BCB" w:rsidRDefault="00E13BCB" w:rsidP="00E13BCB">
      <w:pPr>
        <w:rPr>
          <w:sz w:val="28"/>
          <w:szCs w:val="28"/>
        </w:rPr>
      </w:pPr>
    </w:p>
    <w:p w14:paraId="0EBBD8AD" w14:textId="77777777" w:rsidR="00E13BCB" w:rsidRDefault="00E13BCB" w:rsidP="00E13BCB">
      <w:pPr>
        <w:rPr>
          <w:sz w:val="28"/>
          <w:szCs w:val="28"/>
        </w:rPr>
      </w:pPr>
      <w:r w:rsidRPr="00BC063B">
        <w:rPr>
          <w:sz w:val="28"/>
          <w:szCs w:val="28"/>
        </w:rPr>
        <w:t>Khalil, Muhammad</w:t>
      </w:r>
      <w:r>
        <w:rPr>
          <w:sz w:val="28"/>
          <w:szCs w:val="28"/>
        </w:rPr>
        <w:t>.</w:t>
      </w:r>
      <w:r w:rsidRPr="00BC063B">
        <w:rPr>
          <w:sz w:val="28"/>
          <w:szCs w:val="28"/>
        </w:rPr>
        <w:t xml:space="preserve"> </w:t>
      </w:r>
      <w:r w:rsidRPr="00BC063B">
        <w:rPr>
          <w:i/>
          <w:sz w:val="28"/>
          <w:szCs w:val="28"/>
        </w:rPr>
        <w:t>The Arab States and the Arab League: A Documentary Record, Vol. II International Affairs</w:t>
      </w:r>
      <w:r>
        <w:rPr>
          <w:i/>
          <w:sz w:val="28"/>
          <w:szCs w:val="28"/>
        </w:rPr>
        <w:t>.</w:t>
      </w:r>
      <w:r w:rsidRPr="00BC063B">
        <w:rPr>
          <w:i/>
          <w:sz w:val="28"/>
          <w:szCs w:val="28"/>
        </w:rPr>
        <w:t xml:space="preserve"> </w:t>
      </w:r>
      <w:r w:rsidRPr="00BC063B">
        <w:rPr>
          <w:sz w:val="28"/>
          <w:szCs w:val="28"/>
        </w:rPr>
        <w:t>Beirut: Khayats, 1962</w:t>
      </w:r>
      <w:r>
        <w:rPr>
          <w:sz w:val="28"/>
          <w:szCs w:val="28"/>
        </w:rPr>
        <w:t>.</w:t>
      </w:r>
    </w:p>
    <w:p w14:paraId="10C2A29A" w14:textId="77777777" w:rsidR="00E13BCB" w:rsidRDefault="00E13BCB" w:rsidP="00E13BCB">
      <w:pPr>
        <w:rPr>
          <w:sz w:val="28"/>
          <w:szCs w:val="28"/>
        </w:rPr>
      </w:pPr>
    </w:p>
    <w:p w14:paraId="32FEC534" w14:textId="77777777" w:rsidR="00E13BCB" w:rsidRDefault="00E13BCB" w:rsidP="00E13BCB">
      <w:pPr>
        <w:rPr>
          <w:sz w:val="28"/>
          <w:szCs w:val="28"/>
        </w:rPr>
      </w:pPr>
      <w:proofErr w:type="spellStart"/>
      <w:r w:rsidRPr="005F3EDD">
        <w:rPr>
          <w:sz w:val="28"/>
          <w:szCs w:val="28"/>
        </w:rPr>
        <w:t>Lauterpacht</w:t>
      </w:r>
      <w:proofErr w:type="spellEnd"/>
      <w:r w:rsidRPr="005F3EDD">
        <w:rPr>
          <w:sz w:val="28"/>
          <w:szCs w:val="28"/>
        </w:rPr>
        <w:t>,</w:t>
      </w:r>
      <w:r>
        <w:rPr>
          <w:sz w:val="28"/>
          <w:szCs w:val="28"/>
        </w:rPr>
        <w:t xml:space="preserve"> Elihu.</w:t>
      </w:r>
      <w:r w:rsidRPr="005F3EDD">
        <w:rPr>
          <w:sz w:val="28"/>
          <w:szCs w:val="28"/>
        </w:rPr>
        <w:t xml:space="preserve"> </w:t>
      </w:r>
      <w:r>
        <w:rPr>
          <w:sz w:val="28"/>
          <w:szCs w:val="28"/>
        </w:rPr>
        <w:t>“</w:t>
      </w:r>
      <w:r w:rsidRPr="005F3EDD">
        <w:rPr>
          <w:sz w:val="28"/>
          <w:szCs w:val="28"/>
        </w:rPr>
        <w:t>The Contemporary Practice of the United Kingdom in the Field of International Law-Survey and Comment,</w:t>
      </w:r>
      <w:r>
        <w:rPr>
          <w:sz w:val="28"/>
          <w:szCs w:val="28"/>
        </w:rPr>
        <w:t>”</w:t>
      </w:r>
      <w:r w:rsidRPr="005F3EDD">
        <w:rPr>
          <w:sz w:val="28"/>
          <w:szCs w:val="28"/>
        </w:rPr>
        <w:t xml:space="preserve"> IV,</w:t>
      </w:r>
      <w:r>
        <w:rPr>
          <w:sz w:val="28"/>
          <w:szCs w:val="28"/>
        </w:rPr>
        <w:t xml:space="preserve"> 6</w:t>
      </w:r>
      <w:r w:rsidRPr="005F3EDD">
        <w:rPr>
          <w:sz w:val="28"/>
          <w:szCs w:val="28"/>
        </w:rPr>
        <w:t xml:space="preserve">  </w:t>
      </w:r>
      <w:r w:rsidRPr="00E20826">
        <w:rPr>
          <w:i/>
          <w:sz w:val="28"/>
          <w:szCs w:val="28"/>
        </w:rPr>
        <w:t>Int</w:t>
      </w:r>
      <w:r>
        <w:rPr>
          <w:i/>
          <w:sz w:val="28"/>
          <w:szCs w:val="28"/>
        </w:rPr>
        <w:t>ernationa</w:t>
      </w:r>
      <w:r w:rsidRPr="00E20826">
        <w:rPr>
          <w:i/>
          <w:sz w:val="28"/>
          <w:szCs w:val="28"/>
        </w:rPr>
        <w:t>l &amp; Comp</w:t>
      </w:r>
      <w:r>
        <w:rPr>
          <w:i/>
          <w:sz w:val="28"/>
          <w:szCs w:val="28"/>
        </w:rPr>
        <w:t>arative Law Quarterly</w:t>
      </w:r>
      <w:r w:rsidRPr="005F3EDD">
        <w:rPr>
          <w:sz w:val="28"/>
          <w:szCs w:val="28"/>
        </w:rPr>
        <w:t xml:space="preserve">. </w:t>
      </w:r>
      <w:r>
        <w:rPr>
          <w:sz w:val="28"/>
          <w:szCs w:val="28"/>
        </w:rPr>
        <w:t>(</w:t>
      </w:r>
      <w:r w:rsidRPr="005F3EDD">
        <w:rPr>
          <w:sz w:val="28"/>
          <w:szCs w:val="28"/>
        </w:rPr>
        <w:t>1957</w:t>
      </w:r>
      <w:r>
        <w:rPr>
          <w:sz w:val="28"/>
          <w:szCs w:val="28"/>
        </w:rPr>
        <w:t>): 506-582.</w:t>
      </w:r>
    </w:p>
    <w:p w14:paraId="72E01DC0" w14:textId="77777777" w:rsidR="00E13BCB" w:rsidRDefault="00E13BCB" w:rsidP="00E13BCB">
      <w:pPr>
        <w:rPr>
          <w:sz w:val="28"/>
          <w:szCs w:val="28"/>
        </w:rPr>
      </w:pPr>
    </w:p>
    <w:p w14:paraId="1AE241FE" w14:textId="77777777" w:rsidR="00E13BCB" w:rsidRPr="005F3EDD" w:rsidRDefault="00E13BCB" w:rsidP="00E13BCB">
      <w:pPr>
        <w:rPr>
          <w:sz w:val="28"/>
          <w:szCs w:val="28"/>
        </w:rPr>
      </w:pPr>
      <w:r w:rsidRPr="00C2135F">
        <w:rPr>
          <w:sz w:val="28"/>
          <w:szCs w:val="28"/>
        </w:rPr>
        <w:t>Leonard, L. Larry</w:t>
      </w:r>
      <w:r>
        <w:rPr>
          <w:sz w:val="28"/>
          <w:szCs w:val="28"/>
        </w:rPr>
        <w:t>.</w:t>
      </w:r>
      <w:r w:rsidRPr="00C2135F">
        <w:rPr>
          <w:sz w:val="28"/>
          <w:szCs w:val="28"/>
        </w:rPr>
        <w:t xml:space="preserve"> “The United Nations and Palestine</w:t>
      </w:r>
      <w:r>
        <w:rPr>
          <w:sz w:val="28"/>
          <w:szCs w:val="28"/>
        </w:rPr>
        <w:t>.</w:t>
      </w:r>
      <w:r w:rsidRPr="00C2135F">
        <w:rPr>
          <w:sz w:val="28"/>
          <w:szCs w:val="28"/>
        </w:rPr>
        <w:t xml:space="preserve">” 27 </w:t>
      </w:r>
      <w:r w:rsidRPr="00C2135F">
        <w:rPr>
          <w:i/>
          <w:sz w:val="28"/>
          <w:szCs w:val="28"/>
        </w:rPr>
        <w:t>Int</w:t>
      </w:r>
      <w:r>
        <w:rPr>
          <w:i/>
          <w:sz w:val="28"/>
          <w:szCs w:val="28"/>
        </w:rPr>
        <w:t>ernational</w:t>
      </w:r>
      <w:r w:rsidRPr="00C2135F">
        <w:rPr>
          <w:i/>
          <w:sz w:val="28"/>
          <w:szCs w:val="28"/>
        </w:rPr>
        <w:t xml:space="preserve"> Conciliation</w:t>
      </w:r>
      <w:r w:rsidRPr="00C2135F">
        <w:rPr>
          <w:sz w:val="28"/>
          <w:szCs w:val="28"/>
        </w:rPr>
        <w:t xml:space="preserve"> 607 (1949)</w:t>
      </w:r>
      <w:r>
        <w:rPr>
          <w:sz w:val="28"/>
          <w:szCs w:val="28"/>
        </w:rPr>
        <w:t>:607-786</w:t>
      </w:r>
      <w:r w:rsidRPr="00C2135F">
        <w:rPr>
          <w:sz w:val="28"/>
          <w:szCs w:val="28"/>
        </w:rPr>
        <w:t>.</w:t>
      </w:r>
    </w:p>
    <w:p w14:paraId="750A6ED5" w14:textId="77777777" w:rsidR="00E13BCB" w:rsidRDefault="00E13BCB" w:rsidP="00E13BCB">
      <w:pPr>
        <w:rPr>
          <w:sz w:val="28"/>
          <w:szCs w:val="28"/>
        </w:rPr>
      </w:pPr>
    </w:p>
    <w:p w14:paraId="2C4ADF1C" w14:textId="77777777" w:rsidR="00E13BCB" w:rsidRDefault="00E13BCB" w:rsidP="00E13BCB">
      <w:pPr>
        <w:rPr>
          <w:sz w:val="28"/>
          <w:szCs w:val="28"/>
        </w:rPr>
      </w:pPr>
      <w:r w:rsidRPr="00005BCC">
        <w:rPr>
          <w:sz w:val="28"/>
          <w:szCs w:val="28"/>
        </w:rPr>
        <w:t>Levine, Alan</w:t>
      </w:r>
      <w:r>
        <w:rPr>
          <w:sz w:val="28"/>
          <w:szCs w:val="28"/>
        </w:rPr>
        <w:t>,</w:t>
      </w:r>
      <w:r w:rsidRPr="00005BCC">
        <w:rPr>
          <w:sz w:val="28"/>
          <w:szCs w:val="28"/>
        </w:rPr>
        <w:t xml:space="preserve"> </w:t>
      </w:r>
      <w:r>
        <w:rPr>
          <w:sz w:val="28"/>
          <w:szCs w:val="28"/>
        </w:rPr>
        <w:t>“</w:t>
      </w:r>
      <w:r w:rsidRPr="00005BCC">
        <w:rPr>
          <w:sz w:val="28"/>
          <w:szCs w:val="28"/>
        </w:rPr>
        <w:t>The Status of Sovereignty in East Jerusalem and the West Bank,</w:t>
      </w:r>
      <w:r>
        <w:rPr>
          <w:sz w:val="28"/>
          <w:szCs w:val="28"/>
        </w:rPr>
        <w:t>”</w:t>
      </w:r>
      <w:r w:rsidRPr="00005BCC">
        <w:rPr>
          <w:sz w:val="28"/>
          <w:szCs w:val="28"/>
        </w:rPr>
        <w:t xml:space="preserve">  </w:t>
      </w:r>
      <w:r w:rsidRPr="00E20826">
        <w:rPr>
          <w:i/>
          <w:sz w:val="28"/>
          <w:szCs w:val="28"/>
        </w:rPr>
        <w:t>N.Y.U. J. Int'l L. &amp; Pol</w:t>
      </w:r>
      <w:r>
        <w:rPr>
          <w:i/>
          <w:sz w:val="28"/>
          <w:szCs w:val="28"/>
        </w:rPr>
        <w:t>itics</w:t>
      </w:r>
      <w:r>
        <w:rPr>
          <w:sz w:val="28"/>
          <w:szCs w:val="28"/>
        </w:rPr>
        <w:t xml:space="preserve"> 5</w:t>
      </w:r>
      <w:r w:rsidRPr="00005BCC">
        <w:rPr>
          <w:sz w:val="28"/>
          <w:szCs w:val="28"/>
        </w:rPr>
        <w:t xml:space="preserve"> (1972)</w:t>
      </w:r>
      <w:r>
        <w:rPr>
          <w:sz w:val="28"/>
          <w:szCs w:val="28"/>
        </w:rPr>
        <w:t>: 485-502.</w:t>
      </w:r>
    </w:p>
    <w:p w14:paraId="4F5E0738" w14:textId="77777777" w:rsidR="00E13BCB" w:rsidRDefault="00E13BCB" w:rsidP="00E13BCB">
      <w:pPr>
        <w:rPr>
          <w:sz w:val="28"/>
          <w:szCs w:val="28"/>
        </w:rPr>
      </w:pPr>
    </w:p>
    <w:p w14:paraId="6547C536" w14:textId="77777777" w:rsidR="00E13BCB" w:rsidRDefault="00E13BCB" w:rsidP="00E13BCB">
      <w:pPr>
        <w:rPr>
          <w:sz w:val="28"/>
          <w:szCs w:val="28"/>
        </w:rPr>
      </w:pPr>
      <w:r>
        <w:rPr>
          <w:sz w:val="28"/>
          <w:szCs w:val="28"/>
        </w:rPr>
        <w:t xml:space="preserve">Lewis, Zaccai. </w:t>
      </w:r>
      <w:r w:rsidRPr="001F3CFF">
        <w:rPr>
          <w:sz w:val="28"/>
          <w:szCs w:val="28"/>
        </w:rPr>
        <w:t xml:space="preserve">“Choosing the Hard Path: Understanding How the Palestine Refugees were Separated from All Other Refugees”. </w:t>
      </w:r>
      <w:r>
        <w:rPr>
          <w:sz w:val="28"/>
          <w:szCs w:val="28"/>
        </w:rPr>
        <w:t>Unpublished manuscript.</w:t>
      </w:r>
    </w:p>
    <w:p w14:paraId="0D65889B" w14:textId="77777777" w:rsidR="00E13BCB" w:rsidRDefault="00E13BCB" w:rsidP="00E13BCB">
      <w:pPr>
        <w:rPr>
          <w:sz w:val="28"/>
          <w:szCs w:val="28"/>
        </w:rPr>
      </w:pPr>
    </w:p>
    <w:p w14:paraId="0B364993" w14:textId="77777777" w:rsidR="00E13BCB" w:rsidRDefault="00E13BCB" w:rsidP="00E13BCB">
      <w:pPr>
        <w:rPr>
          <w:sz w:val="28"/>
          <w:szCs w:val="28"/>
        </w:rPr>
      </w:pPr>
      <w:r>
        <w:rPr>
          <w:sz w:val="28"/>
          <w:szCs w:val="28"/>
        </w:rPr>
        <w:t xml:space="preserve">Lewis, Zaccai. </w:t>
      </w:r>
      <w:r w:rsidRPr="001F3CFF">
        <w:rPr>
          <w:sz w:val="28"/>
          <w:szCs w:val="28"/>
        </w:rPr>
        <w:t>“Separating the Wheat from the Chaff: Jewish Displaced Persons and Post-War Immigration Policy”</w:t>
      </w:r>
      <w:r>
        <w:rPr>
          <w:sz w:val="28"/>
          <w:szCs w:val="28"/>
        </w:rPr>
        <w:t xml:space="preserve">.  Unpublished manuscript. </w:t>
      </w:r>
    </w:p>
    <w:p w14:paraId="3CB146C6" w14:textId="77777777" w:rsidR="00E13BCB" w:rsidRDefault="00E13BCB" w:rsidP="00E13BCB">
      <w:pPr>
        <w:rPr>
          <w:sz w:val="28"/>
          <w:szCs w:val="28"/>
        </w:rPr>
      </w:pPr>
    </w:p>
    <w:p w14:paraId="77F4E082" w14:textId="77777777" w:rsidR="00E13BCB" w:rsidRDefault="00E13BCB" w:rsidP="00E13BCB">
      <w:pPr>
        <w:rPr>
          <w:sz w:val="28"/>
          <w:szCs w:val="28"/>
        </w:rPr>
      </w:pPr>
      <w:r w:rsidRPr="0096623A">
        <w:rPr>
          <w:sz w:val="28"/>
          <w:szCs w:val="28"/>
        </w:rPr>
        <w:t>Lewis,</w:t>
      </w:r>
      <w:r>
        <w:rPr>
          <w:sz w:val="28"/>
          <w:szCs w:val="28"/>
        </w:rPr>
        <w:t xml:space="preserve"> </w:t>
      </w:r>
      <w:r w:rsidRPr="0096623A">
        <w:rPr>
          <w:sz w:val="28"/>
          <w:szCs w:val="28"/>
        </w:rPr>
        <w:t>Zaccai</w:t>
      </w:r>
      <w:r>
        <w:rPr>
          <w:sz w:val="28"/>
          <w:szCs w:val="28"/>
        </w:rPr>
        <w:t>.</w:t>
      </w:r>
      <w:r w:rsidRPr="0096623A">
        <w:rPr>
          <w:sz w:val="28"/>
          <w:szCs w:val="28"/>
        </w:rPr>
        <w:t xml:space="preserve"> “</w:t>
      </w:r>
      <w:r w:rsidRPr="0096623A">
        <w:rPr>
          <w:bCs/>
          <w:sz w:val="28"/>
          <w:szCs w:val="28"/>
        </w:rPr>
        <w:t>Creating a Separate Body: The Attempts to Internationalize Jerusalem, 1947-1950”, unpublished manuscript,</w:t>
      </w:r>
    </w:p>
    <w:p w14:paraId="0855DF7B" w14:textId="77777777" w:rsidR="00E13BCB" w:rsidRDefault="00E13BCB" w:rsidP="00E13BCB">
      <w:pPr>
        <w:rPr>
          <w:sz w:val="28"/>
          <w:szCs w:val="28"/>
        </w:rPr>
      </w:pPr>
    </w:p>
    <w:p w14:paraId="616B15B9" w14:textId="77777777" w:rsidR="00E13BCB" w:rsidRPr="001F3CFF" w:rsidRDefault="00E13BCB" w:rsidP="00E13BCB">
      <w:pPr>
        <w:rPr>
          <w:sz w:val="28"/>
          <w:szCs w:val="28"/>
        </w:rPr>
      </w:pPr>
      <w:r w:rsidRPr="004A543C">
        <w:rPr>
          <w:sz w:val="28"/>
          <w:szCs w:val="28"/>
        </w:rPr>
        <w:t>Lewis,</w:t>
      </w:r>
      <w:r>
        <w:rPr>
          <w:sz w:val="28"/>
          <w:szCs w:val="28"/>
        </w:rPr>
        <w:t xml:space="preserve"> </w:t>
      </w:r>
      <w:r w:rsidRPr="004A543C">
        <w:rPr>
          <w:sz w:val="28"/>
          <w:szCs w:val="28"/>
        </w:rPr>
        <w:t>Zaccai</w:t>
      </w:r>
      <w:r>
        <w:rPr>
          <w:sz w:val="28"/>
          <w:szCs w:val="28"/>
        </w:rPr>
        <w:t>.</w:t>
      </w:r>
      <w:r w:rsidRPr="004A543C">
        <w:rPr>
          <w:sz w:val="28"/>
          <w:szCs w:val="28"/>
        </w:rPr>
        <w:t xml:space="preserve"> “</w:t>
      </w:r>
      <w:r w:rsidRPr="004A543C">
        <w:rPr>
          <w:bCs/>
          <w:sz w:val="28"/>
          <w:szCs w:val="28"/>
        </w:rPr>
        <w:t>Rescuing the World with Promises, Appeasement and Threats: Minority Rights and Treaty Revision at Work”</w:t>
      </w:r>
      <w:r>
        <w:rPr>
          <w:bCs/>
          <w:sz w:val="28"/>
          <w:szCs w:val="28"/>
        </w:rPr>
        <w:t>.  Unpublished manuscript.</w:t>
      </w:r>
    </w:p>
    <w:p w14:paraId="642D4235" w14:textId="77777777" w:rsidR="00E13BCB" w:rsidRDefault="00E13BCB" w:rsidP="00E13BCB">
      <w:pPr>
        <w:rPr>
          <w:sz w:val="28"/>
          <w:szCs w:val="28"/>
        </w:rPr>
      </w:pPr>
    </w:p>
    <w:p w14:paraId="3751C997" w14:textId="77777777" w:rsidR="00E13BCB" w:rsidRDefault="00E13BCB" w:rsidP="00E13BCB">
      <w:pPr>
        <w:rPr>
          <w:sz w:val="28"/>
          <w:szCs w:val="28"/>
        </w:rPr>
      </w:pPr>
      <w:r w:rsidRPr="007730E7">
        <w:rPr>
          <w:sz w:val="28"/>
          <w:szCs w:val="28"/>
        </w:rPr>
        <w:t>Malik,</w:t>
      </w:r>
      <w:r>
        <w:rPr>
          <w:sz w:val="28"/>
          <w:szCs w:val="28"/>
        </w:rPr>
        <w:t xml:space="preserve"> </w:t>
      </w:r>
      <w:r w:rsidRPr="007730E7">
        <w:rPr>
          <w:sz w:val="28"/>
          <w:szCs w:val="28"/>
        </w:rPr>
        <w:t>Charles</w:t>
      </w:r>
      <w:r>
        <w:rPr>
          <w:sz w:val="28"/>
          <w:szCs w:val="28"/>
        </w:rPr>
        <w:t>.</w:t>
      </w:r>
      <w:r w:rsidRPr="007730E7">
        <w:rPr>
          <w:sz w:val="28"/>
          <w:szCs w:val="28"/>
        </w:rPr>
        <w:t xml:space="preserve"> </w:t>
      </w:r>
      <w:r>
        <w:rPr>
          <w:sz w:val="28"/>
          <w:szCs w:val="28"/>
        </w:rPr>
        <w:t>“</w:t>
      </w:r>
      <w:r w:rsidRPr="007730E7">
        <w:rPr>
          <w:sz w:val="28"/>
          <w:szCs w:val="28"/>
        </w:rPr>
        <w:t>The Near East: The Search for Truth</w:t>
      </w:r>
      <w:r>
        <w:rPr>
          <w:sz w:val="28"/>
          <w:szCs w:val="28"/>
        </w:rPr>
        <w:t>”</w:t>
      </w:r>
      <w:r w:rsidRPr="007730E7">
        <w:rPr>
          <w:sz w:val="28"/>
          <w:szCs w:val="28"/>
        </w:rPr>
        <w:t xml:space="preserve">, 30 </w:t>
      </w:r>
      <w:r w:rsidRPr="00F55CB9">
        <w:rPr>
          <w:i/>
          <w:sz w:val="28"/>
          <w:szCs w:val="28"/>
        </w:rPr>
        <w:t>Foreign Aff</w:t>
      </w:r>
      <w:r>
        <w:rPr>
          <w:i/>
          <w:sz w:val="28"/>
          <w:szCs w:val="28"/>
        </w:rPr>
        <w:t>airs</w:t>
      </w:r>
      <w:r w:rsidRPr="007730E7">
        <w:rPr>
          <w:sz w:val="28"/>
          <w:szCs w:val="28"/>
        </w:rPr>
        <w:t xml:space="preserve"> (1952)</w:t>
      </w:r>
      <w:r>
        <w:rPr>
          <w:sz w:val="28"/>
          <w:szCs w:val="28"/>
        </w:rPr>
        <w:t>:</w:t>
      </w:r>
      <w:r w:rsidRPr="007730E7">
        <w:rPr>
          <w:sz w:val="28"/>
          <w:szCs w:val="28"/>
        </w:rPr>
        <w:t xml:space="preserve"> 231-264</w:t>
      </w:r>
      <w:r>
        <w:rPr>
          <w:sz w:val="28"/>
          <w:szCs w:val="28"/>
        </w:rPr>
        <w:t>.</w:t>
      </w:r>
    </w:p>
    <w:p w14:paraId="57AF73A1" w14:textId="77777777" w:rsidR="00E13BCB" w:rsidRDefault="00E13BCB" w:rsidP="00E13BCB">
      <w:pPr>
        <w:rPr>
          <w:sz w:val="28"/>
          <w:szCs w:val="28"/>
        </w:rPr>
      </w:pPr>
    </w:p>
    <w:p w14:paraId="00F3D629" w14:textId="77777777" w:rsidR="00E13BCB" w:rsidRPr="00005BCC" w:rsidRDefault="00E13BCB" w:rsidP="00E13BCB">
      <w:pPr>
        <w:rPr>
          <w:sz w:val="28"/>
          <w:szCs w:val="28"/>
        </w:rPr>
      </w:pPr>
      <w:r w:rsidRPr="009A2526">
        <w:rPr>
          <w:sz w:val="28"/>
          <w:szCs w:val="28"/>
        </w:rPr>
        <w:t>Marton,</w:t>
      </w:r>
      <w:r>
        <w:rPr>
          <w:sz w:val="28"/>
          <w:szCs w:val="28"/>
        </w:rPr>
        <w:t xml:space="preserve"> </w:t>
      </w:r>
      <w:r w:rsidRPr="009A2526">
        <w:rPr>
          <w:sz w:val="28"/>
          <w:szCs w:val="28"/>
        </w:rPr>
        <w:t>Kati</w:t>
      </w:r>
      <w:r>
        <w:rPr>
          <w:sz w:val="28"/>
          <w:szCs w:val="28"/>
        </w:rPr>
        <w:t>.</w:t>
      </w:r>
      <w:r w:rsidRPr="009A2526">
        <w:rPr>
          <w:sz w:val="28"/>
          <w:szCs w:val="28"/>
        </w:rPr>
        <w:t xml:space="preserve"> </w:t>
      </w:r>
      <w:r w:rsidRPr="009A2526">
        <w:rPr>
          <w:i/>
          <w:sz w:val="28"/>
          <w:szCs w:val="28"/>
        </w:rPr>
        <w:t>A Death in Jerusalem</w:t>
      </w:r>
      <w:r>
        <w:rPr>
          <w:i/>
          <w:sz w:val="28"/>
          <w:szCs w:val="28"/>
        </w:rPr>
        <w:t>.</w:t>
      </w:r>
      <w:r w:rsidRPr="009A2526">
        <w:rPr>
          <w:i/>
          <w:sz w:val="28"/>
          <w:szCs w:val="28"/>
        </w:rPr>
        <w:t xml:space="preserve"> </w:t>
      </w:r>
      <w:r w:rsidRPr="009A2526">
        <w:rPr>
          <w:sz w:val="28"/>
          <w:szCs w:val="28"/>
        </w:rPr>
        <w:t>New York</w:t>
      </w:r>
      <w:r>
        <w:rPr>
          <w:sz w:val="28"/>
          <w:szCs w:val="28"/>
        </w:rPr>
        <w:t>:</w:t>
      </w:r>
      <w:r w:rsidRPr="009A2526">
        <w:rPr>
          <w:sz w:val="28"/>
          <w:szCs w:val="28"/>
        </w:rPr>
        <w:t xml:space="preserve"> Pantheon Books</w:t>
      </w:r>
      <w:r>
        <w:rPr>
          <w:sz w:val="28"/>
          <w:szCs w:val="28"/>
        </w:rPr>
        <w:t>,</w:t>
      </w:r>
      <w:r w:rsidRPr="009A2526">
        <w:rPr>
          <w:sz w:val="28"/>
          <w:szCs w:val="28"/>
        </w:rPr>
        <w:t xml:space="preserve"> 1994</w:t>
      </w:r>
      <w:r>
        <w:rPr>
          <w:sz w:val="28"/>
          <w:szCs w:val="28"/>
        </w:rPr>
        <w:t>.</w:t>
      </w:r>
    </w:p>
    <w:p w14:paraId="256BA13D" w14:textId="77777777" w:rsidR="00E13BCB" w:rsidRDefault="00E13BCB" w:rsidP="00E13BCB">
      <w:pPr>
        <w:rPr>
          <w:sz w:val="28"/>
          <w:szCs w:val="28"/>
        </w:rPr>
      </w:pPr>
    </w:p>
    <w:p w14:paraId="2D15596F" w14:textId="77777777" w:rsidR="00E13BCB" w:rsidRDefault="00E13BCB" w:rsidP="00E13BCB">
      <w:pPr>
        <w:rPr>
          <w:sz w:val="28"/>
          <w:szCs w:val="28"/>
        </w:rPr>
      </w:pPr>
      <w:r w:rsidRPr="00085C49">
        <w:rPr>
          <w:sz w:val="28"/>
          <w:szCs w:val="28"/>
        </w:rPr>
        <w:t>Mazower, Mark</w:t>
      </w:r>
      <w:r>
        <w:rPr>
          <w:sz w:val="28"/>
          <w:szCs w:val="28"/>
        </w:rPr>
        <w:t>.</w:t>
      </w:r>
      <w:r w:rsidRPr="00085C49">
        <w:rPr>
          <w:sz w:val="28"/>
          <w:szCs w:val="28"/>
        </w:rPr>
        <w:t xml:space="preserve"> </w:t>
      </w:r>
      <w:r w:rsidRPr="00085C49">
        <w:rPr>
          <w:i/>
          <w:sz w:val="28"/>
          <w:szCs w:val="28"/>
        </w:rPr>
        <w:t>No Enchanted Palace: The End of Empire and the Ideological Origins of the United Nations</w:t>
      </w:r>
      <w:r>
        <w:rPr>
          <w:i/>
          <w:sz w:val="28"/>
          <w:szCs w:val="28"/>
        </w:rPr>
        <w:t xml:space="preserve">. </w:t>
      </w:r>
      <w:r w:rsidRPr="00085C49">
        <w:rPr>
          <w:sz w:val="28"/>
          <w:szCs w:val="28"/>
        </w:rPr>
        <w:t>Princeton: Princeton University Press, 2009</w:t>
      </w:r>
      <w:r>
        <w:rPr>
          <w:sz w:val="28"/>
          <w:szCs w:val="28"/>
        </w:rPr>
        <w:t>.</w:t>
      </w:r>
    </w:p>
    <w:p w14:paraId="2714C61D" w14:textId="77777777" w:rsidR="00E13BCB" w:rsidRDefault="00E13BCB" w:rsidP="00E13BCB">
      <w:pPr>
        <w:rPr>
          <w:sz w:val="28"/>
          <w:szCs w:val="28"/>
        </w:rPr>
      </w:pPr>
    </w:p>
    <w:p w14:paraId="63010D01" w14:textId="77777777" w:rsidR="00E13BCB" w:rsidRPr="009C3413" w:rsidRDefault="00E13BCB" w:rsidP="00E13BCB">
      <w:pPr>
        <w:rPr>
          <w:i/>
          <w:sz w:val="28"/>
          <w:szCs w:val="28"/>
        </w:rPr>
      </w:pPr>
      <w:r w:rsidRPr="009C3413">
        <w:rPr>
          <w:sz w:val="28"/>
          <w:szCs w:val="28"/>
        </w:rPr>
        <w:t>Mazuzan,</w:t>
      </w:r>
      <w:r>
        <w:rPr>
          <w:sz w:val="28"/>
          <w:szCs w:val="28"/>
        </w:rPr>
        <w:t xml:space="preserve"> </w:t>
      </w:r>
      <w:r w:rsidRPr="009C3413">
        <w:rPr>
          <w:sz w:val="28"/>
          <w:szCs w:val="28"/>
        </w:rPr>
        <w:t xml:space="preserve">George T.  </w:t>
      </w:r>
      <w:r w:rsidRPr="009C3413">
        <w:rPr>
          <w:i/>
          <w:sz w:val="28"/>
          <w:szCs w:val="28"/>
        </w:rPr>
        <w:t>Warren R. Austin at the United Nations, 1946-1953</w:t>
      </w:r>
      <w:r>
        <w:rPr>
          <w:i/>
          <w:sz w:val="28"/>
          <w:szCs w:val="28"/>
        </w:rPr>
        <w:t>.</w:t>
      </w:r>
    </w:p>
    <w:p w14:paraId="3A5CC5FA" w14:textId="77777777" w:rsidR="00E13BCB" w:rsidRDefault="00E13BCB" w:rsidP="00E13BCB">
      <w:pPr>
        <w:rPr>
          <w:sz w:val="28"/>
          <w:szCs w:val="28"/>
        </w:rPr>
      </w:pPr>
      <w:r w:rsidRPr="009C3413">
        <w:rPr>
          <w:sz w:val="28"/>
          <w:szCs w:val="28"/>
        </w:rPr>
        <w:t>Kent State University Press, 1977</w:t>
      </w:r>
      <w:r>
        <w:rPr>
          <w:sz w:val="28"/>
          <w:szCs w:val="28"/>
        </w:rPr>
        <w:t>.</w:t>
      </w:r>
    </w:p>
    <w:p w14:paraId="1423EB7A" w14:textId="77777777" w:rsidR="00E13BCB" w:rsidRDefault="00E13BCB" w:rsidP="00E13BCB">
      <w:pPr>
        <w:rPr>
          <w:sz w:val="28"/>
          <w:szCs w:val="28"/>
        </w:rPr>
      </w:pPr>
    </w:p>
    <w:p w14:paraId="410D7120" w14:textId="77777777" w:rsidR="00E13BCB" w:rsidRPr="001F3498" w:rsidRDefault="00E13BCB" w:rsidP="00E13BCB">
      <w:pPr>
        <w:rPr>
          <w:sz w:val="28"/>
          <w:szCs w:val="28"/>
        </w:rPr>
      </w:pPr>
      <w:r w:rsidRPr="001F3498">
        <w:rPr>
          <w:sz w:val="28"/>
          <w:szCs w:val="28"/>
        </w:rPr>
        <w:t>Mohn,</w:t>
      </w:r>
      <w:r>
        <w:rPr>
          <w:sz w:val="28"/>
          <w:szCs w:val="28"/>
        </w:rPr>
        <w:t xml:space="preserve"> </w:t>
      </w:r>
      <w:r w:rsidRPr="001F3498">
        <w:rPr>
          <w:sz w:val="28"/>
          <w:szCs w:val="28"/>
        </w:rPr>
        <w:t>Paul</w:t>
      </w:r>
      <w:r>
        <w:rPr>
          <w:sz w:val="28"/>
          <w:szCs w:val="28"/>
        </w:rPr>
        <w:t>.</w:t>
      </w:r>
      <w:r w:rsidRPr="001F3498">
        <w:rPr>
          <w:sz w:val="28"/>
          <w:szCs w:val="28"/>
        </w:rPr>
        <w:t xml:space="preserve"> </w:t>
      </w:r>
      <w:r>
        <w:rPr>
          <w:sz w:val="28"/>
          <w:szCs w:val="28"/>
        </w:rPr>
        <w:t>“</w:t>
      </w:r>
      <w:r w:rsidRPr="001F3498">
        <w:rPr>
          <w:sz w:val="28"/>
          <w:szCs w:val="28"/>
        </w:rPr>
        <w:t>Jerusalem and the United Nations</w:t>
      </w:r>
      <w:r>
        <w:rPr>
          <w:sz w:val="28"/>
          <w:szCs w:val="28"/>
        </w:rPr>
        <w:t>”</w:t>
      </w:r>
      <w:r w:rsidRPr="001F3498">
        <w:rPr>
          <w:sz w:val="28"/>
          <w:szCs w:val="28"/>
        </w:rPr>
        <w:t xml:space="preserve">, 28 </w:t>
      </w:r>
      <w:r w:rsidRPr="001F3498">
        <w:rPr>
          <w:i/>
          <w:sz w:val="28"/>
          <w:szCs w:val="28"/>
        </w:rPr>
        <w:t>International Conciliation</w:t>
      </w:r>
      <w:r w:rsidRPr="001F3498">
        <w:rPr>
          <w:sz w:val="28"/>
          <w:szCs w:val="28"/>
        </w:rPr>
        <w:t xml:space="preserve"> 425 (1950)</w:t>
      </w:r>
      <w:r>
        <w:rPr>
          <w:sz w:val="28"/>
          <w:szCs w:val="28"/>
        </w:rPr>
        <w:t>: 425-471.</w:t>
      </w:r>
    </w:p>
    <w:p w14:paraId="3BB9AF3E" w14:textId="77777777" w:rsidR="00E13BCB" w:rsidRDefault="00E13BCB" w:rsidP="00E13BCB">
      <w:pPr>
        <w:rPr>
          <w:sz w:val="28"/>
          <w:szCs w:val="28"/>
        </w:rPr>
      </w:pPr>
    </w:p>
    <w:p w14:paraId="5D84B676" w14:textId="77777777" w:rsidR="00E13BCB" w:rsidRDefault="00E13BCB" w:rsidP="00E13BCB">
      <w:pPr>
        <w:rPr>
          <w:sz w:val="28"/>
          <w:szCs w:val="28"/>
        </w:rPr>
      </w:pPr>
      <w:r w:rsidRPr="00E20826">
        <w:rPr>
          <w:sz w:val="28"/>
          <w:szCs w:val="28"/>
        </w:rPr>
        <w:t>Morris, Benny</w:t>
      </w:r>
      <w:r>
        <w:rPr>
          <w:sz w:val="28"/>
          <w:szCs w:val="28"/>
        </w:rPr>
        <w:t>.</w:t>
      </w:r>
      <w:r w:rsidRPr="00E20826">
        <w:rPr>
          <w:sz w:val="28"/>
          <w:szCs w:val="28"/>
        </w:rPr>
        <w:t xml:space="preserve"> </w:t>
      </w:r>
      <w:r w:rsidRPr="00E20826">
        <w:rPr>
          <w:i/>
          <w:sz w:val="28"/>
          <w:szCs w:val="28"/>
        </w:rPr>
        <w:t>1948: A History of the First Arab-Israeli War</w:t>
      </w:r>
      <w:r>
        <w:rPr>
          <w:i/>
          <w:sz w:val="28"/>
          <w:szCs w:val="28"/>
        </w:rPr>
        <w:t>.</w:t>
      </w:r>
      <w:r w:rsidRPr="00E20826">
        <w:rPr>
          <w:i/>
          <w:sz w:val="28"/>
          <w:szCs w:val="28"/>
        </w:rPr>
        <w:t xml:space="preserve"> </w:t>
      </w:r>
      <w:r w:rsidRPr="00E20826">
        <w:rPr>
          <w:sz w:val="28"/>
          <w:szCs w:val="28"/>
        </w:rPr>
        <w:t>New Haven: Yale University Press, 2008</w:t>
      </w:r>
      <w:r>
        <w:rPr>
          <w:sz w:val="28"/>
          <w:szCs w:val="28"/>
        </w:rPr>
        <w:t>.</w:t>
      </w:r>
    </w:p>
    <w:p w14:paraId="4758BE02" w14:textId="77777777" w:rsidR="00E13BCB" w:rsidRDefault="00E13BCB" w:rsidP="00E13BCB">
      <w:pPr>
        <w:rPr>
          <w:sz w:val="28"/>
          <w:szCs w:val="28"/>
        </w:rPr>
      </w:pPr>
    </w:p>
    <w:p w14:paraId="327E3735" w14:textId="77777777" w:rsidR="00E13BCB" w:rsidRDefault="00E13BCB" w:rsidP="00E13BCB">
      <w:pPr>
        <w:rPr>
          <w:sz w:val="28"/>
          <w:szCs w:val="28"/>
        </w:rPr>
      </w:pPr>
      <w:r w:rsidRPr="00F74077">
        <w:rPr>
          <w:sz w:val="28"/>
          <w:szCs w:val="28"/>
        </w:rPr>
        <w:t>Munkman,</w:t>
      </w:r>
      <w:r w:rsidRPr="00443D14">
        <w:rPr>
          <w:sz w:val="28"/>
          <w:szCs w:val="28"/>
        </w:rPr>
        <w:t xml:space="preserve"> </w:t>
      </w:r>
      <w:r w:rsidRPr="00F74077">
        <w:rPr>
          <w:sz w:val="28"/>
          <w:szCs w:val="28"/>
        </w:rPr>
        <w:t xml:space="preserve">A.L.  43 </w:t>
      </w:r>
      <w:r w:rsidRPr="00F74077">
        <w:rPr>
          <w:i/>
          <w:sz w:val="28"/>
          <w:szCs w:val="28"/>
        </w:rPr>
        <w:t xml:space="preserve">British Yearbook of International Law, </w:t>
      </w:r>
      <w:r w:rsidRPr="00F74077">
        <w:rPr>
          <w:sz w:val="28"/>
          <w:szCs w:val="28"/>
        </w:rPr>
        <w:t>271 (1968-1969) p 306-310</w:t>
      </w:r>
      <w:r>
        <w:rPr>
          <w:sz w:val="28"/>
          <w:szCs w:val="28"/>
        </w:rPr>
        <w:t xml:space="preserve">, review of </w:t>
      </w:r>
      <w:r w:rsidRPr="00F74077">
        <w:rPr>
          <w:sz w:val="28"/>
          <w:szCs w:val="28"/>
        </w:rPr>
        <w:t>Lauterpacht, Elihu</w:t>
      </w:r>
      <w:r>
        <w:rPr>
          <w:sz w:val="28"/>
          <w:szCs w:val="28"/>
        </w:rPr>
        <w:t>.</w:t>
      </w:r>
      <w:r w:rsidRPr="00F74077">
        <w:rPr>
          <w:i/>
          <w:sz w:val="28"/>
          <w:szCs w:val="28"/>
        </w:rPr>
        <w:t xml:space="preserve"> Jerusalem and the Holy Places,</w:t>
      </w:r>
      <w:r w:rsidRPr="00F74077">
        <w:rPr>
          <w:sz w:val="28"/>
          <w:szCs w:val="28"/>
        </w:rPr>
        <w:t xml:space="preserve"> London: The Anglo-Israel Association, 1968. 87 pp. ms.</w:t>
      </w:r>
      <w:r>
        <w:rPr>
          <w:sz w:val="28"/>
          <w:szCs w:val="28"/>
        </w:rPr>
        <w:t xml:space="preserve">  </w:t>
      </w:r>
      <w:r w:rsidRPr="00F74077">
        <w:rPr>
          <w:sz w:val="28"/>
          <w:szCs w:val="28"/>
        </w:rPr>
        <w:t xml:space="preserve"> </w:t>
      </w:r>
    </w:p>
    <w:p w14:paraId="2F18B5FC" w14:textId="77777777" w:rsidR="00E13BCB" w:rsidRDefault="00E13BCB" w:rsidP="00E13BCB">
      <w:pPr>
        <w:rPr>
          <w:sz w:val="28"/>
          <w:szCs w:val="28"/>
        </w:rPr>
      </w:pPr>
    </w:p>
    <w:p w14:paraId="620A5432" w14:textId="77777777" w:rsidR="00E13BCB" w:rsidRPr="00E20826" w:rsidRDefault="00E13BCB" w:rsidP="00E13BCB">
      <w:pPr>
        <w:rPr>
          <w:sz w:val="28"/>
          <w:szCs w:val="28"/>
        </w:rPr>
      </w:pPr>
      <w:r w:rsidRPr="00E9458E">
        <w:rPr>
          <w:sz w:val="28"/>
          <w:szCs w:val="28"/>
        </w:rPr>
        <w:t>Nevo, Joseph</w:t>
      </w:r>
      <w:r>
        <w:rPr>
          <w:sz w:val="28"/>
          <w:szCs w:val="28"/>
        </w:rPr>
        <w:t>.</w:t>
      </w:r>
      <w:r w:rsidRPr="00E9458E">
        <w:rPr>
          <w:sz w:val="28"/>
          <w:szCs w:val="28"/>
        </w:rPr>
        <w:t xml:space="preserve"> </w:t>
      </w:r>
      <w:r w:rsidRPr="00E9458E">
        <w:rPr>
          <w:i/>
          <w:sz w:val="28"/>
          <w:szCs w:val="28"/>
        </w:rPr>
        <w:t xml:space="preserve">King Abdallah and the Palestinians: A Territorial Ambition, </w:t>
      </w:r>
      <w:r w:rsidRPr="00E9458E">
        <w:rPr>
          <w:sz w:val="28"/>
          <w:szCs w:val="28"/>
        </w:rPr>
        <w:t>NY, NY: St Martin’s Press, 1996</w:t>
      </w:r>
    </w:p>
    <w:p w14:paraId="414CDF3A" w14:textId="77777777" w:rsidR="00E13BCB" w:rsidRDefault="00E13BCB" w:rsidP="00E13BCB">
      <w:pPr>
        <w:rPr>
          <w:sz w:val="28"/>
          <w:szCs w:val="28"/>
        </w:rPr>
      </w:pPr>
    </w:p>
    <w:p w14:paraId="3D1C7E7A" w14:textId="77777777" w:rsidR="00E13BCB" w:rsidRDefault="00E13BCB" w:rsidP="00E13BCB">
      <w:pPr>
        <w:rPr>
          <w:sz w:val="28"/>
          <w:szCs w:val="28"/>
        </w:rPr>
      </w:pPr>
      <w:r w:rsidRPr="000103C8">
        <w:rPr>
          <w:sz w:val="28"/>
          <w:szCs w:val="28"/>
        </w:rPr>
        <w:t xml:space="preserve">Ofuatey-Kodjoe, W. </w:t>
      </w:r>
      <w:r w:rsidRPr="000103C8">
        <w:rPr>
          <w:i/>
          <w:sz w:val="28"/>
          <w:szCs w:val="28"/>
        </w:rPr>
        <w:t xml:space="preserve">The Principal of Self-Determination in International Law, </w:t>
      </w:r>
    </w:p>
    <w:p w14:paraId="092CCFF6" w14:textId="77777777" w:rsidR="00E13BCB" w:rsidRDefault="00E13BCB" w:rsidP="00E13BCB">
      <w:pPr>
        <w:rPr>
          <w:sz w:val="28"/>
          <w:szCs w:val="28"/>
        </w:rPr>
      </w:pPr>
      <w:r w:rsidRPr="000103C8">
        <w:rPr>
          <w:sz w:val="28"/>
          <w:szCs w:val="28"/>
        </w:rPr>
        <w:t>New York: Nellen Publishing, 1977</w:t>
      </w:r>
      <w:r>
        <w:rPr>
          <w:sz w:val="28"/>
          <w:szCs w:val="28"/>
        </w:rPr>
        <w:t>.</w:t>
      </w:r>
    </w:p>
    <w:p w14:paraId="1732C857" w14:textId="77777777" w:rsidR="00E13BCB" w:rsidRDefault="00E13BCB" w:rsidP="00E13BCB">
      <w:pPr>
        <w:rPr>
          <w:sz w:val="28"/>
          <w:szCs w:val="28"/>
        </w:rPr>
      </w:pPr>
    </w:p>
    <w:p w14:paraId="123C7F62" w14:textId="77777777" w:rsidR="00E13BCB" w:rsidRDefault="00E13BCB" w:rsidP="00E13BCB">
      <w:pPr>
        <w:rPr>
          <w:sz w:val="28"/>
          <w:szCs w:val="28"/>
        </w:rPr>
      </w:pPr>
      <w:r w:rsidRPr="0062238C">
        <w:rPr>
          <w:sz w:val="28"/>
          <w:szCs w:val="28"/>
        </w:rPr>
        <w:t>Oppenheim,</w:t>
      </w:r>
      <w:r>
        <w:rPr>
          <w:sz w:val="28"/>
          <w:szCs w:val="28"/>
        </w:rPr>
        <w:t xml:space="preserve"> </w:t>
      </w:r>
      <w:r w:rsidRPr="0062238C">
        <w:rPr>
          <w:sz w:val="28"/>
          <w:szCs w:val="28"/>
        </w:rPr>
        <w:t xml:space="preserve">L.  </w:t>
      </w:r>
      <w:r w:rsidRPr="0062238C">
        <w:rPr>
          <w:i/>
          <w:sz w:val="28"/>
          <w:szCs w:val="28"/>
        </w:rPr>
        <w:t>International Law: A Treatise, Vol I, Peace,</w:t>
      </w:r>
      <w:r>
        <w:rPr>
          <w:i/>
          <w:sz w:val="28"/>
          <w:szCs w:val="28"/>
        </w:rPr>
        <w:t xml:space="preserve"> and Vol II, War, </w:t>
      </w:r>
      <w:r w:rsidRPr="0062238C">
        <w:rPr>
          <w:i/>
          <w:sz w:val="28"/>
          <w:szCs w:val="28"/>
        </w:rPr>
        <w:t xml:space="preserve"> </w:t>
      </w:r>
      <w:r w:rsidRPr="0062238C">
        <w:rPr>
          <w:sz w:val="28"/>
          <w:szCs w:val="28"/>
        </w:rPr>
        <w:t>edited by H</w:t>
      </w:r>
      <w:r>
        <w:rPr>
          <w:sz w:val="28"/>
          <w:szCs w:val="28"/>
        </w:rPr>
        <w:t>.</w:t>
      </w:r>
      <w:r w:rsidRPr="0062238C">
        <w:rPr>
          <w:sz w:val="28"/>
          <w:szCs w:val="28"/>
        </w:rPr>
        <w:t xml:space="preserve"> Lauterpacht</w:t>
      </w:r>
      <w:r>
        <w:rPr>
          <w:sz w:val="28"/>
          <w:szCs w:val="28"/>
        </w:rPr>
        <w:t>.</w:t>
      </w:r>
      <w:r w:rsidRPr="0062238C">
        <w:rPr>
          <w:sz w:val="28"/>
          <w:szCs w:val="28"/>
        </w:rPr>
        <w:t xml:space="preserve"> London: Longmans, Green and Co, 1947.</w:t>
      </w:r>
    </w:p>
    <w:p w14:paraId="35EF9AE9" w14:textId="77777777" w:rsidR="00E13BCB" w:rsidRDefault="00E13BCB" w:rsidP="00E13BCB">
      <w:pPr>
        <w:rPr>
          <w:sz w:val="28"/>
          <w:szCs w:val="28"/>
        </w:rPr>
      </w:pPr>
    </w:p>
    <w:p w14:paraId="44169AFC" w14:textId="77777777" w:rsidR="00E13BCB" w:rsidRDefault="00E13BCB" w:rsidP="00E13BCB">
      <w:pPr>
        <w:rPr>
          <w:sz w:val="28"/>
          <w:szCs w:val="28"/>
        </w:rPr>
      </w:pPr>
      <w:r>
        <w:rPr>
          <w:sz w:val="28"/>
          <w:szCs w:val="28"/>
        </w:rPr>
        <w:t xml:space="preserve">Pedersen, Susan. </w:t>
      </w:r>
      <w:r w:rsidRPr="00FD719E">
        <w:rPr>
          <w:i/>
          <w:sz w:val="28"/>
          <w:szCs w:val="28"/>
        </w:rPr>
        <w:t>The Guardians: The League of Nations and the Crisis of Empire</w:t>
      </w:r>
      <w:r>
        <w:rPr>
          <w:sz w:val="28"/>
          <w:szCs w:val="28"/>
        </w:rPr>
        <w:t>. Oxford: Oxford University Press, 2015.</w:t>
      </w:r>
    </w:p>
    <w:p w14:paraId="3244942F" w14:textId="77777777" w:rsidR="00E13BCB" w:rsidRDefault="00E13BCB" w:rsidP="00E13BCB">
      <w:pPr>
        <w:rPr>
          <w:sz w:val="28"/>
          <w:szCs w:val="28"/>
        </w:rPr>
      </w:pPr>
    </w:p>
    <w:p w14:paraId="0BF5925D" w14:textId="77777777" w:rsidR="00E13BCB" w:rsidRDefault="00E13BCB" w:rsidP="00E13BCB">
      <w:pPr>
        <w:rPr>
          <w:sz w:val="28"/>
          <w:szCs w:val="28"/>
        </w:rPr>
      </w:pPr>
      <w:r w:rsidRPr="00DD11E2">
        <w:rPr>
          <w:sz w:val="28"/>
          <w:szCs w:val="28"/>
        </w:rPr>
        <w:t>Peretz, Don</w:t>
      </w:r>
      <w:r>
        <w:rPr>
          <w:sz w:val="28"/>
          <w:szCs w:val="28"/>
        </w:rPr>
        <w:t>.</w:t>
      </w:r>
      <w:r w:rsidRPr="00DD11E2">
        <w:rPr>
          <w:sz w:val="28"/>
          <w:szCs w:val="28"/>
        </w:rPr>
        <w:t xml:space="preserve"> </w:t>
      </w:r>
      <w:r w:rsidRPr="00DD11E2">
        <w:rPr>
          <w:i/>
          <w:sz w:val="28"/>
          <w:szCs w:val="28"/>
        </w:rPr>
        <w:t>Palestinians, Refugees, and the Middle East Peace Process</w:t>
      </w:r>
      <w:r>
        <w:rPr>
          <w:sz w:val="28"/>
          <w:szCs w:val="28"/>
        </w:rPr>
        <w:t>.</w:t>
      </w:r>
      <w:r w:rsidRPr="00DD11E2">
        <w:rPr>
          <w:sz w:val="28"/>
          <w:szCs w:val="28"/>
        </w:rPr>
        <w:t xml:space="preserve"> Washington, DC: United States Institute of Peace Press, 1993</w:t>
      </w:r>
      <w:r>
        <w:rPr>
          <w:sz w:val="28"/>
          <w:szCs w:val="28"/>
        </w:rPr>
        <w:t>.</w:t>
      </w:r>
    </w:p>
    <w:p w14:paraId="66FCB19B" w14:textId="77777777" w:rsidR="00E13BCB" w:rsidRDefault="00E13BCB" w:rsidP="00E13BCB">
      <w:pPr>
        <w:rPr>
          <w:sz w:val="28"/>
          <w:szCs w:val="28"/>
        </w:rPr>
      </w:pPr>
    </w:p>
    <w:p w14:paraId="07366D84" w14:textId="77777777" w:rsidR="00E13BCB" w:rsidRDefault="00E13BCB" w:rsidP="00E13BCB">
      <w:pPr>
        <w:rPr>
          <w:sz w:val="28"/>
          <w:szCs w:val="28"/>
        </w:rPr>
      </w:pPr>
      <w:r w:rsidRPr="004A72D4">
        <w:rPr>
          <w:sz w:val="28"/>
          <w:szCs w:val="28"/>
        </w:rPr>
        <w:t>Rosenne</w:t>
      </w:r>
      <w:r>
        <w:rPr>
          <w:sz w:val="28"/>
          <w:szCs w:val="28"/>
        </w:rPr>
        <w:t xml:space="preserve">, </w:t>
      </w:r>
      <w:r w:rsidRPr="004A72D4">
        <w:rPr>
          <w:sz w:val="28"/>
          <w:szCs w:val="28"/>
        </w:rPr>
        <w:t>Shabtai</w:t>
      </w:r>
      <w:r>
        <w:rPr>
          <w:sz w:val="28"/>
          <w:szCs w:val="28"/>
        </w:rPr>
        <w:t>.</w:t>
      </w:r>
      <w:r w:rsidRPr="004A72D4">
        <w:rPr>
          <w:sz w:val="28"/>
          <w:szCs w:val="28"/>
        </w:rPr>
        <w:t xml:space="preserve"> </w:t>
      </w:r>
      <w:r>
        <w:rPr>
          <w:sz w:val="28"/>
          <w:szCs w:val="28"/>
        </w:rPr>
        <w:t>“</w:t>
      </w:r>
      <w:r w:rsidRPr="004A72D4">
        <w:rPr>
          <w:sz w:val="28"/>
          <w:szCs w:val="28"/>
        </w:rPr>
        <w:t>Directions for a Middle East Settlement--Some Underlying Legal Problems,</w:t>
      </w:r>
      <w:r>
        <w:rPr>
          <w:sz w:val="28"/>
          <w:szCs w:val="28"/>
        </w:rPr>
        <w:t>”</w:t>
      </w:r>
      <w:r w:rsidRPr="004A72D4">
        <w:rPr>
          <w:sz w:val="28"/>
          <w:szCs w:val="28"/>
        </w:rPr>
        <w:t xml:space="preserve"> </w:t>
      </w:r>
      <w:r w:rsidRPr="00E20826">
        <w:rPr>
          <w:i/>
          <w:sz w:val="28"/>
          <w:szCs w:val="28"/>
        </w:rPr>
        <w:t>Law &amp; Contemp</w:t>
      </w:r>
      <w:r>
        <w:rPr>
          <w:i/>
          <w:sz w:val="28"/>
          <w:szCs w:val="28"/>
        </w:rPr>
        <w:t>orary</w:t>
      </w:r>
      <w:r w:rsidRPr="00E20826">
        <w:rPr>
          <w:i/>
          <w:sz w:val="28"/>
          <w:szCs w:val="28"/>
        </w:rPr>
        <w:t xml:space="preserve"> Prob</w:t>
      </w:r>
      <w:r>
        <w:rPr>
          <w:i/>
          <w:sz w:val="28"/>
          <w:szCs w:val="28"/>
        </w:rPr>
        <w:t>lem</w:t>
      </w:r>
      <w:r w:rsidRPr="00E20826">
        <w:rPr>
          <w:i/>
          <w:sz w:val="28"/>
          <w:szCs w:val="28"/>
        </w:rPr>
        <w:t>s</w:t>
      </w:r>
      <w:r>
        <w:rPr>
          <w:sz w:val="28"/>
          <w:szCs w:val="28"/>
        </w:rPr>
        <w:t xml:space="preserve"> 33</w:t>
      </w:r>
      <w:r w:rsidRPr="004A72D4">
        <w:rPr>
          <w:sz w:val="28"/>
          <w:szCs w:val="28"/>
        </w:rPr>
        <w:t xml:space="preserve">  (1</w:t>
      </w:r>
      <w:r>
        <w:rPr>
          <w:sz w:val="28"/>
          <w:szCs w:val="28"/>
        </w:rPr>
        <w:t>968): 44-67.</w:t>
      </w:r>
    </w:p>
    <w:p w14:paraId="4E140B23" w14:textId="77777777" w:rsidR="00E13BCB" w:rsidRDefault="00E13BCB" w:rsidP="00E13BCB">
      <w:pPr>
        <w:rPr>
          <w:sz w:val="28"/>
          <w:szCs w:val="28"/>
        </w:rPr>
      </w:pPr>
    </w:p>
    <w:p w14:paraId="71FC21AB" w14:textId="77777777" w:rsidR="00E13BCB" w:rsidRDefault="00E13BCB" w:rsidP="00E13BCB">
      <w:pPr>
        <w:rPr>
          <w:sz w:val="28"/>
          <w:szCs w:val="28"/>
        </w:rPr>
      </w:pPr>
      <w:r w:rsidRPr="00E437A3">
        <w:rPr>
          <w:sz w:val="28"/>
          <w:szCs w:val="28"/>
        </w:rPr>
        <w:t>Rakcauskas</w:t>
      </w:r>
      <w:r>
        <w:rPr>
          <w:sz w:val="28"/>
          <w:szCs w:val="28"/>
        </w:rPr>
        <w:t>,</w:t>
      </w:r>
      <w:r w:rsidRPr="008B5B0F">
        <w:rPr>
          <w:sz w:val="28"/>
          <w:szCs w:val="28"/>
        </w:rPr>
        <w:t xml:space="preserve"> </w:t>
      </w:r>
      <w:r w:rsidRPr="00E437A3">
        <w:rPr>
          <w:sz w:val="28"/>
          <w:szCs w:val="28"/>
        </w:rPr>
        <w:t>Constantine</w:t>
      </w:r>
      <w:r>
        <w:rPr>
          <w:sz w:val="28"/>
          <w:szCs w:val="28"/>
        </w:rPr>
        <w:t>.</w:t>
      </w:r>
      <w:r w:rsidRPr="00E437A3">
        <w:rPr>
          <w:sz w:val="28"/>
          <w:szCs w:val="28"/>
        </w:rPr>
        <w:t xml:space="preserve"> “The Jerusalem Problem: A Note on Legality</w:t>
      </w:r>
      <w:r>
        <w:rPr>
          <w:sz w:val="28"/>
          <w:szCs w:val="28"/>
        </w:rPr>
        <w:t>.</w:t>
      </w:r>
      <w:r w:rsidRPr="00E437A3">
        <w:rPr>
          <w:sz w:val="28"/>
          <w:szCs w:val="28"/>
        </w:rPr>
        <w:t xml:space="preserve">” </w:t>
      </w:r>
      <w:r w:rsidRPr="00E437A3">
        <w:rPr>
          <w:i/>
          <w:sz w:val="28"/>
          <w:szCs w:val="28"/>
        </w:rPr>
        <w:t xml:space="preserve">Thought: Fordham University Quarterly </w:t>
      </w:r>
      <w:r w:rsidRPr="00E437A3">
        <w:rPr>
          <w:sz w:val="28"/>
          <w:szCs w:val="28"/>
        </w:rPr>
        <w:t>XXV, No 96, (March, 1950): 100-114.</w:t>
      </w:r>
    </w:p>
    <w:p w14:paraId="70A482CC" w14:textId="77777777" w:rsidR="00E13BCB" w:rsidRDefault="00E13BCB" w:rsidP="00E13BCB">
      <w:pPr>
        <w:rPr>
          <w:sz w:val="28"/>
          <w:szCs w:val="28"/>
        </w:rPr>
      </w:pPr>
    </w:p>
    <w:p w14:paraId="723AB8AE" w14:textId="77777777" w:rsidR="00E13BCB" w:rsidRDefault="00E13BCB" w:rsidP="00E13BCB">
      <w:pPr>
        <w:rPr>
          <w:sz w:val="28"/>
          <w:szCs w:val="28"/>
        </w:rPr>
      </w:pPr>
      <w:r w:rsidRPr="001163ED">
        <w:rPr>
          <w:sz w:val="28"/>
          <w:szCs w:val="28"/>
        </w:rPr>
        <w:t>Rubinstein, Amnon</w:t>
      </w:r>
      <w:r>
        <w:rPr>
          <w:sz w:val="28"/>
          <w:szCs w:val="28"/>
        </w:rPr>
        <w:t>.</w:t>
      </w:r>
      <w:r w:rsidRPr="001163ED">
        <w:rPr>
          <w:sz w:val="28"/>
          <w:szCs w:val="28"/>
        </w:rPr>
        <w:t xml:space="preserve"> </w:t>
      </w:r>
      <w:r>
        <w:rPr>
          <w:sz w:val="28"/>
          <w:szCs w:val="28"/>
        </w:rPr>
        <w:t>“</w:t>
      </w:r>
      <w:r w:rsidRPr="001163ED">
        <w:rPr>
          <w:sz w:val="28"/>
          <w:szCs w:val="28"/>
        </w:rPr>
        <w:t>The Changing Status of the Territories (West Bank and Gaza): From Escrow to Legal Mongrel</w:t>
      </w:r>
      <w:r>
        <w:rPr>
          <w:sz w:val="28"/>
          <w:szCs w:val="28"/>
        </w:rPr>
        <w:t>.”</w:t>
      </w:r>
      <w:r w:rsidRPr="001163ED">
        <w:rPr>
          <w:sz w:val="28"/>
          <w:szCs w:val="28"/>
        </w:rPr>
        <w:t xml:space="preserve"> 8 </w:t>
      </w:r>
      <w:r w:rsidRPr="001163ED">
        <w:rPr>
          <w:i/>
          <w:sz w:val="28"/>
          <w:szCs w:val="28"/>
        </w:rPr>
        <w:t>Tel Aviv U. Studies in Law</w:t>
      </w:r>
      <w:r>
        <w:rPr>
          <w:sz w:val="28"/>
          <w:szCs w:val="28"/>
        </w:rPr>
        <w:t>,</w:t>
      </w:r>
      <w:r w:rsidRPr="001163ED">
        <w:rPr>
          <w:sz w:val="28"/>
          <w:szCs w:val="28"/>
        </w:rPr>
        <w:t xml:space="preserve"> 59 (1988)</w:t>
      </w:r>
      <w:r>
        <w:rPr>
          <w:sz w:val="28"/>
          <w:szCs w:val="28"/>
        </w:rPr>
        <w:t>: 59-79.</w:t>
      </w:r>
    </w:p>
    <w:p w14:paraId="51CBCCB1" w14:textId="77777777" w:rsidR="00E13BCB" w:rsidRDefault="00E13BCB" w:rsidP="00E13BCB">
      <w:pPr>
        <w:rPr>
          <w:sz w:val="28"/>
          <w:szCs w:val="28"/>
        </w:rPr>
      </w:pPr>
    </w:p>
    <w:p w14:paraId="12788848" w14:textId="77777777" w:rsidR="00E13BCB" w:rsidRDefault="00E13BCB" w:rsidP="00E13BCB">
      <w:pPr>
        <w:rPr>
          <w:sz w:val="28"/>
          <w:szCs w:val="28"/>
        </w:rPr>
      </w:pPr>
      <w:r w:rsidRPr="00AD7441">
        <w:rPr>
          <w:sz w:val="28"/>
          <w:szCs w:val="28"/>
        </w:rPr>
        <w:t xml:space="preserve">Schiff, Benjamin N. </w:t>
      </w:r>
      <w:r w:rsidRPr="00AD7441">
        <w:rPr>
          <w:i/>
          <w:sz w:val="28"/>
          <w:szCs w:val="28"/>
        </w:rPr>
        <w:t>Refugees Unto the Third Generation: UN Aid to Palestinians</w:t>
      </w:r>
      <w:r>
        <w:rPr>
          <w:i/>
          <w:sz w:val="28"/>
          <w:szCs w:val="28"/>
        </w:rPr>
        <w:t>.</w:t>
      </w:r>
      <w:r w:rsidRPr="00AD7441">
        <w:rPr>
          <w:i/>
          <w:sz w:val="28"/>
          <w:szCs w:val="28"/>
        </w:rPr>
        <w:t xml:space="preserve"> </w:t>
      </w:r>
      <w:r w:rsidRPr="00AD7441">
        <w:rPr>
          <w:sz w:val="28"/>
          <w:szCs w:val="28"/>
        </w:rPr>
        <w:t>Syracuse: Syracuse University Press, 1995</w:t>
      </w:r>
      <w:r>
        <w:rPr>
          <w:sz w:val="28"/>
          <w:szCs w:val="28"/>
        </w:rPr>
        <w:t>.</w:t>
      </w:r>
    </w:p>
    <w:p w14:paraId="3510EDCD" w14:textId="77777777" w:rsidR="00E13BCB" w:rsidRDefault="00E13BCB" w:rsidP="00E13BCB">
      <w:pPr>
        <w:rPr>
          <w:sz w:val="28"/>
          <w:szCs w:val="28"/>
        </w:rPr>
      </w:pPr>
    </w:p>
    <w:p w14:paraId="657F9B6D" w14:textId="77777777" w:rsidR="00E13BCB" w:rsidRPr="00AD7441" w:rsidRDefault="00E13BCB" w:rsidP="00E13BCB">
      <w:pPr>
        <w:rPr>
          <w:sz w:val="28"/>
          <w:szCs w:val="28"/>
        </w:rPr>
      </w:pPr>
      <w:r w:rsidRPr="008B5B0F">
        <w:rPr>
          <w:sz w:val="28"/>
          <w:szCs w:val="28"/>
        </w:rPr>
        <w:t>Sharp, Roland Hall</w:t>
      </w:r>
      <w:r>
        <w:rPr>
          <w:sz w:val="28"/>
          <w:szCs w:val="28"/>
        </w:rPr>
        <w:t>.</w:t>
      </w:r>
      <w:r w:rsidRPr="008B5B0F">
        <w:rPr>
          <w:sz w:val="28"/>
          <w:szCs w:val="28"/>
        </w:rPr>
        <w:t xml:space="preserve"> “Duties of Non-Recognition in Practice: 1775-1934</w:t>
      </w:r>
      <w:r>
        <w:rPr>
          <w:sz w:val="28"/>
          <w:szCs w:val="28"/>
        </w:rPr>
        <w:t>.</w:t>
      </w:r>
      <w:r w:rsidRPr="008B5B0F">
        <w:rPr>
          <w:sz w:val="28"/>
          <w:szCs w:val="28"/>
        </w:rPr>
        <w:t xml:space="preserve">” </w:t>
      </w:r>
      <w:r w:rsidRPr="008B5B0F">
        <w:rPr>
          <w:i/>
          <w:iCs/>
          <w:sz w:val="28"/>
          <w:szCs w:val="28"/>
        </w:rPr>
        <w:t>Geneva Special Studies</w:t>
      </w:r>
      <w:r w:rsidRPr="008B5B0F">
        <w:rPr>
          <w:sz w:val="28"/>
          <w:szCs w:val="28"/>
        </w:rPr>
        <w:t xml:space="preserve"> V, no 4, 1934</w:t>
      </w:r>
      <w:r>
        <w:rPr>
          <w:sz w:val="28"/>
          <w:szCs w:val="28"/>
        </w:rPr>
        <w:t>.</w:t>
      </w:r>
    </w:p>
    <w:p w14:paraId="6B7A8926" w14:textId="77777777" w:rsidR="00E13BCB" w:rsidRDefault="00E13BCB" w:rsidP="00E13BCB">
      <w:pPr>
        <w:rPr>
          <w:sz w:val="28"/>
          <w:szCs w:val="28"/>
        </w:rPr>
      </w:pPr>
    </w:p>
    <w:p w14:paraId="56EC6DDD" w14:textId="77777777" w:rsidR="00E13BCB" w:rsidRDefault="00E13BCB" w:rsidP="00E13BCB">
      <w:pPr>
        <w:rPr>
          <w:sz w:val="28"/>
          <w:szCs w:val="28"/>
        </w:rPr>
      </w:pPr>
      <w:r w:rsidRPr="00A22E91">
        <w:rPr>
          <w:sz w:val="28"/>
          <w:szCs w:val="28"/>
        </w:rPr>
        <w:t>Shlaim, Avi</w:t>
      </w:r>
      <w:r>
        <w:rPr>
          <w:sz w:val="28"/>
          <w:szCs w:val="28"/>
        </w:rPr>
        <w:t>.</w:t>
      </w:r>
      <w:r w:rsidRPr="00A22E91">
        <w:rPr>
          <w:sz w:val="28"/>
          <w:szCs w:val="28"/>
        </w:rPr>
        <w:t xml:space="preserve"> </w:t>
      </w:r>
      <w:r w:rsidRPr="00A22E91">
        <w:rPr>
          <w:i/>
          <w:sz w:val="28"/>
          <w:szCs w:val="28"/>
        </w:rPr>
        <w:t>The Politics of Partition: King Abdullah, the Zionists and Palestine 1921-1951</w:t>
      </w:r>
      <w:r>
        <w:rPr>
          <w:i/>
          <w:sz w:val="28"/>
          <w:szCs w:val="28"/>
        </w:rPr>
        <w:t>.</w:t>
      </w:r>
      <w:r w:rsidRPr="00A22E91">
        <w:rPr>
          <w:i/>
          <w:sz w:val="28"/>
          <w:szCs w:val="28"/>
        </w:rPr>
        <w:t xml:space="preserve"> </w:t>
      </w:r>
      <w:r w:rsidRPr="00A22E91">
        <w:rPr>
          <w:sz w:val="28"/>
          <w:szCs w:val="28"/>
        </w:rPr>
        <w:t>New York</w:t>
      </w:r>
      <w:r>
        <w:rPr>
          <w:sz w:val="28"/>
          <w:szCs w:val="28"/>
        </w:rPr>
        <w:t>:</w:t>
      </w:r>
      <w:r w:rsidRPr="00A22E91">
        <w:rPr>
          <w:sz w:val="28"/>
          <w:szCs w:val="28"/>
        </w:rPr>
        <w:t xml:space="preserve"> Columbia University Press, 1990</w:t>
      </w:r>
      <w:r>
        <w:rPr>
          <w:sz w:val="28"/>
          <w:szCs w:val="28"/>
        </w:rPr>
        <w:t>.</w:t>
      </w:r>
    </w:p>
    <w:p w14:paraId="473FA940" w14:textId="77777777" w:rsidR="00E13BCB" w:rsidRDefault="00E13BCB" w:rsidP="00E13BCB">
      <w:pPr>
        <w:rPr>
          <w:sz w:val="28"/>
          <w:szCs w:val="28"/>
        </w:rPr>
      </w:pPr>
    </w:p>
    <w:p w14:paraId="704CE0A7" w14:textId="77777777" w:rsidR="00E13BCB" w:rsidRDefault="00E13BCB" w:rsidP="00E13BCB">
      <w:pPr>
        <w:rPr>
          <w:sz w:val="28"/>
          <w:szCs w:val="28"/>
        </w:rPr>
      </w:pPr>
      <w:r w:rsidRPr="005D16EB">
        <w:rPr>
          <w:sz w:val="28"/>
          <w:szCs w:val="28"/>
        </w:rPr>
        <w:t>Shlaim, Avi</w:t>
      </w:r>
      <w:r>
        <w:rPr>
          <w:sz w:val="28"/>
          <w:szCs w:val="28"/>
        </w:rPr>
        <w:t>.</w:t>
      </w:r>
      <w:r w:rsidRPr="005D16EB">
        <w:rPr>
          <w:sz w:val="28"/>
          <w:szCs w:val="28"/>
        </w:rPr>
        <w:t xml:space="preserve"> </w:t>
      </w:r>
      <w:r w:rsidRPr="005D16EB">
        <w:rPr>
          <w:i/>
          <w:sz w:val="28"/>
          <w:szCs w:val="28"/>
        </w:rPr>
        <w:t>Collusion Across the Jordan: King Abdullah, the Zionist Movement, and the Partition of Palestine</w:t>
      </w:r>
      <w:r>
        <w:rPr>
          <w:i/>
          <w:sz w:val="28"/>
          <w:szCs w:val="28"/>
        </w:rPr>
        <w:t xml:space="preserve">. </w:t>
      </w:r>
      <w:r w:rsidRPr="005D16EB">
        <w:rPr>
          <w:sz w:val="28"/>
          <w:szCs w:val="28"/>
        </w:rPr>
        <w:t>New York: Columbia University Press, 1988</w:t>
      </w:r>
      <w:r>
        <w:rPr>
          <w:sz w:val="28"/>
          <w:szCs w:val="28"/>
        </w:rPr>
        <w:t>.</w:t>
      </w:r>
    </w:p>
    <w:p w14:paraId="68EF6E82" w14:textId="77777777" w:rsidR="00E13BCB" w:rsidRDefault="00E13BCB" w:rsidP="00E13BCB">
      <w:pPr>
        <w:rPr>
          <w:sz w:val="28"/>
          <w:szCs w:val="28"/>
        </w:rPr>
      </w:pPr>
    </w:p>
    <w:p w14:paraId="446F6165" w14:textId="1221D1D7" w:rsidR="00E13BCB" w:rsidRDefault="00E13BCB" w:rsidP="00E13BCB">
      <w:pPr>
        <w:rPr>
          <w:sz w:val="28"/>
          <w:szCs w:val="28"/>
        </w:rPr>
      </w:pPr>
      <w:r w:rsidRPr="00953247">
        <w:rPr>
          <w:sz w:val="28"/>
          <w:szCs w:val="28"/>
        </w:rPr>
        <w:t>Stevens</w:t>
      </w:r>
      <w:r>
        <w:rPr>
          <w:sz w:val="28"/>
          <w:szCs w:val="28"/>
        </w:rPr>
        <w:t xml:space="preserve">, </w:t>
      </w:r>
      <w:r w:rsidRPr="00953247">
        <w:rPr>
          <w:sz w:val="28"/>
          <w:szCs w:val="28"/>
        </w:rPr>
        <w:t>Georgiana G</w:t>
      </w:r>
      <w:r>
        <w:rPr>
          <w:sz w:val="28"/>
          <w:szCs w:val="28"/>
        </w:rPr>
        <w:t>.</w:t>
      </w:r>
      <w:r w:rsidRPr="00953247">
        <w:rPr>
          <w:sz w:val="28"/>
          <w:szCs w:val="28"/>
        </w:rPr>
        <w:t xml:space="preserve"> </w:t>
      </w:r>
      <w:r>
        <w:rPr>
          <w:sz w:val="28"/>
          <w:szCs w:val="28"/>
        </w:rPr>
        <w:t>“</w:t>
      </w:r>
      <w:r w:rsidRPr="00953247">
        <w:rPr>
          <w:sz w:val="28"/>
          <w:szCs w:val="28"/>
        </w:rPr>
        <w:t>The Jordan River Valley</w:t>
      </w:r>
      <w:r>
        <w:rPr>
          <w:sz w:val="28"/>
          <w:szCs w:val="28"/>
        </w:rPr>
        <w:t>”</w:t>
      </w:r>
      <w:r w:rsidRPr="00953247">
        <w:rPr>
          <w:sz w:val="28"/>
          <w:szCs w:val="28"/>
        </w:rPr>
        <w:t xml:space="preserve">, 31 </w:t>
      </w:r>
      <w:r w:rsidRPr="00953247">
        <w:rPr>
          <w:i/>
          <w:sz w:val="28"/>
          <w:szCs w:val="28"/>
        </w:rPr>
        <w:t>International Conciliation</w:t>
      </w:r>
      <w:r w:rsidRPr="00953247">
        <w:rPr>
          <w:sz w:val="28"/>
          <w:szCs w:val="28"/>
        </w:rPr>
        <w:t xml:space="preserve"> 227 (1956</w:t>
      </w:r>
      <w:r>
        <w:rPr>
          <w:sz w:val="28"/>
          <w:szCs w:val="28"/>
        </w:rPr>
        <w:t>): 227-283.</w:t>
      </w:r>
    </w:p>
    <w:p w14:paraId="367BD56F" w14:textId="47B7E33B" w:rsidR="0051023F" w:rsidRDefault="0051023F" w:rsidP="00E13BCB">
      <w:pPr>
        <w:rPr>
          <w:sz w:val="28"/>
          <w:szCs w:val="28"/>
        </w:rPr>
      </w:pPr>
    </w:p>
    <w:p w14:paraId="1C16B5FF" w14:textId="77777777" w:rsidR="0051023F" w:rsidRDefault="0051023F" w:rsidP="0051023F">
      <w:pPr>
        <w:rPr>
          <w:sz w:val="28"/>
          <w:szCs w:val="28"/>
        </w:rPr>
      </w:pPr>
      <w:r w:rsidRPr="00D636B5">
        <w:rPr>
          <w:sz w:val="28"/>
          <w:szCs w:val="28"/>
        </w:rPr>
        <w:t xml:space="preserve">St </w:t>
      </w:r>
      <w:proofErr w:type="spellStart"/>
      <w:r w:rsidRPr="00D636B5">
        <w:rPr>
          <w:sz w:val="28"/>
          <w:szCs w:val="28"/>
        </w:rPr>
        <w:t>Korowicz</w:t>
      </w:r>
      <w:proofErr w:type="spellEnd"/>
      <w:r w:rsidRPr="00D636B5">
        <w:rPr>
          <w:sz w:val="28"/>
          <w:szCs w:val="28"/>
        </w:rPr>
        <w:t>, Marek</w:t>
      </w:r>
      <w:r>
        <w:rPr>
          <w:sz w:val="28"/>
          <w:szCs w:val="28"/>
        </w:rPr>
        <w:t>.</w:t>
      </w:r>
      <w:r w:rsidRPr="00D636B5">
        <w:rPr>
          <w:sz w:val="28"/>
          <w:szCs w:val="28"/>
        </w:rPr>
        <w:t xml:space="preserve"> </w:t>
      </w:r>
      <w:r w:rsidRPr="00D636B5">
        <w:rPr>
          <w:i/>
          <w:sz w:val="28"/>
          <w:szCs w:val="28"/>
        </w:rPr>
        <w:t>Introduction to International Law: Present Conceptions of International Law in Theory and Practice</w:t>
      </w:r>
      <w:r>
        <w:rPr>
          <w:i/>
          <w:sz w:val="28"/>
          <w:szCs w:val="28"/>
        </w:rPr>
        <w:t>.</w:t>
      </w:r>
      <w:r w:rsidRPr="00D636B5">
        <w:rPr>
          <w:i/>
          <w:sz w:val="28"/>
          <w:szCs w:val="28"/>
        </w:rPr>
        <w:t xml:space="preserve"> </w:t>
      </w:r>
      <w:r w:rsidRPr="00D636B5">
        <w:rPr>
          <w:sz w:val="28"/>
          <w:szCs w:val="28"/>
        </w:rPr>
        <w:t xml:space="preserve">The Hague: </w:t>
      </w:r>
      <w:proofErr w:type="spellStart"/>
      <w:r w:rsidRPr="00D636B5">
        <w:rPr>
          <w:sz w:val="28"/>
          <w:szCs w:val="28"/>
        </w:rPr>
        <w:t>Martinus</w:t>
      </w:r>
      <w:proofErr w:type="spellEnd"/>
      <w:r w:rsidRPr="00D636B5">
        <w:rPr>
          <w:sz w:val="28"/>
          <w:szCs w:val="28"/>
        </w:rPr>
        <w:t xml:space="preserve"> </w:t>
      </w:r>
      <w:proofErr w:type="spellStart"/>
      <w:r w:rsidRPr="00D636B5">
        <w:rPr>
          <w:sz w:val="28"/>
          <w:szCs w:val="28"/>
        </w:rPr>
        <w:t>Nijhoff</w:t>
      </w:r>
      <w:proofErr w:type="spellEnd"/>
      <w:r>
        <w:rPr>
          <w:sz w:val="28"/>
          <w:szCs w:val="28"/>
        </w:rPr>
        <w:t>,</w:t>
      </w:r>
      <w:r w:rsidRPr="00D636B5">
        <w:rPr>
          <w:sz w:val="28"/>
          <w:szCs w:val="28"/>
        </w:rPr>
        <w:t xml:space="preserve"> 1959</w:t>
      </w:r>
      <w:r>
        <w:rPr>
          <w:sz w:val="28"/>
          <w:szCs w:val="28"/>
        </w:rPr>
        <w:t>.</w:t>
      </w:r>
    </w:p>
    <w:p w14:paraId="7FF8364E" w14:textId="77777777" w:rsidR="00E13BCB" w:rsidRDefault="00E13BCB" w:rsidP="00E13BCB">
      <w:pPr>
        <w:rPr>
          <w:sz w:val="28"/>
          <w:szCs w:val="28"/>
        </w:rPr>
      </w:pPr>
    </w:p>
    <w:p w14:paraId="70484DA3" w14:textId="77777777" w:rsidR="00E13BCB" w:rsidRDefault="00E13BCB" w:rsidP="00E13BCB">
      <w:pPr>
        <w:rPr>
          <w:sz w:val="28"/>
          <w:szCs w:val="28"/>
        </w:rPr>
      </w:pPr>
      <w:r w:rsidRPr="00815FF9">
        <w:rPr>
          <w:sz w:val="28"/>
          <w:szCs w:val="28"/>
        </w:rPr>
        <w:t xml:space="preserve">Stone, Julius. </w:t>
      </w:r>
      <w:r w:rsidRPr="00815FF9">
        <w:rPr>
          <w:i/>
          <w:sz w:val="28"/>
          <w:szCs w:val="28"/>
        </w:rPr>
        <w:t xml:space="preserve">Israel and Palestine: Assault on the Law of Nations. </w:t>
      </w:r>
      <w:r w:rsidRPr="00815FF9">
        <w:rPr>
          <w:sz w:val="28"/>
          <w:szCs w:val="28"/>
        </w:rPr>
        <w:t>Baltimore: Johns Hopkins University Press, 1981.</w:t>
      </w:r>
    </w:p>
    <w:p w14:paraId="20D7576F" w14:textId="77777777" w:rsidR="00E13BCB" w:rsidRDefault="00E13BCB" w:rsidP="00E13BCB">
      <w:pPr>
        <w:rPr>
          <w:sz w:val="28"/>
          <w:szCs w:val="28"/>
        </w:rPr>
      </w:pPr>
    </w:p>
    <w:p w14:paraId="0042027D" w14:textId="77777777" w:rsidR="00E13BCB" w:rsidRDefault="00E13BCB" w:rsidP="00E13BCB">
      <w:pPr>
        <w:rPr>
          <w:sz w:val="28"/>
          <w:szCs w:val="28"/>
        </w:rPr>
      </w:pPr>
      <w:r w:rsidRPr="001360C8">
        <w:rPr>
          <w:sz w:val="28"/>
          <w:szCs w:val="28"/>
        </w:rPr>
        <w:t xml:space="preserve">Tomeh, George J. </w:t>
      </w:r>
      <w:r>
        <w:rPr>
          <w:sz w:val="28"/>
          <w:szCs w:val="28"/>
        </w:rPr>
        <w:t>“</w:t>
      </w:r>
      <w:r w:rsidRPr="001360C8">
        <w:rPr>
          <w:sz w:val="28"/>
          <w:szCs w:val="28"/>
        </w:rPr>
        <w:t>Legal Statutes of Arab Refugees</w:t>
      </w:r>
      <w:r>
        <w:rPr>
          <w:sz w:val="28"/>
          <w:szCs w:val="28"/>
        </w:rPr>
        <w:t>”</w:t>
      </w:r>
      <w:r w:rsidRPr="001360C8">
        <w:rPr>
          <w:sz w:val="28"/>
          <w:szCs w:val="28"/>
        </w:rPr>
        <w:t xml:space="preserve">, 33 </w:t>
      </w:r>
      <w:r w:rsidRPr="001360C8">
        <w:rPr>
          <w:i/>
          <w:sz w:val="28"/>
          <w:szCs w:val="28"/>
        </w:rPr>
        <w:t>Law &amp; Contemporary Problems.</w:t>
      </w:r>
      <w:r w:rsidRPr="001360C8">
        <w:rPr>
          <w:sz w:val="28"/>
          <w:szCs w:val="28"/>
        </w:rPr>
        <w:t xml:space="preserve"> 110 (</w:t>
      </w:r>
      <w:r>
        <w:rPr>
          <w:sz w:val="28"/>
          <w:szCs w:val="28"/>
        </w:rPr>
        <w:t>1968): 110-124.</w:t>
      </w:r>
    </w:p>
    <w:p w14:paraId="7F661B9F" w14:textId="77777777" w:rsidR="00E13BCB" w:rsidRDefault="00E13BCB" w:rsidP="00E13BCB">
      <w:pPr>
        <w:rPr>
          <w:sz w:val="28"/>
          <w:szCs w:val="28"/>
        </w:rPr>
      </w:pPr>
    </w:p>
    <w:p w14:paraId="0B3E9508" w14:textId="77777777" w:rsidR="00E13BCB" w:rsidRDefault="00E13BCB" w:rsidP="00E13BCB">
      <w:pPr>
        <w:rPr>
          <w:sz w:val="28"/>
          <w:szCs w:val="28"/>
        </w:rPr>
      </w:pPr>
      <w:r w:rsidRPr="00DB2F44">
        <w:rPr>
          <w:sz w:val="28"/>
          <w:szCs w:val="28"/>
        </w:rPr>
        <w:t xml:space="preserve">Thompson, E. M. </w:t>
      </w:r>
      <w:r>
        <w:rPr>
          <w:sz w:val="28"/>
          <w:szCs w:val="28"/>
        </w:rPr>
        <w:t>“</w:t>
      </w:r>
      <w:r w:rsidRPr="00DB2F44">
        <w:rPr>
          <w:sz w:val="28"/>
          <w:szCs w:val="28"/>
        </w:rPr>
        <w:t>Israel and the Arab states</w:t>
      </w:r>
      <w:r>
        <w:rPr>
          <w:sz w:val="28"/>
          <w:szCs w:val="28"/>
        </w:rPr>
        <w:t>”</w:t>
      </w:r>
      <w:r w:rsidRPr="00DB2F44">
        <w:rPr>
          <w:sz w:val="28"/>
          <w:szCs w:val="28"/>
        </w:rPr>
        <w:t>. </w:t>
      </w:r>
      <w:r w:rsidRPr="00DB2F44">
        <w:rPr>
          <w:i/>
          <w:iCs/>
          <w:sz w:val="28"/>
          <w:szCs w:val="28"/>
        </w:rPr>
        <w:t>Editorial research reports 1952</w:t>
      </w:r>
      <w:r w:rsidRPr="00DB2F44">
        <w:rPr>
          <w:sz w:val="28"/>
          <w:szCs w:val="28"/>
        </w:rPr>
        <w:t> (Vol. II). Washington, DC: CQ Press.</w:t>
      </w:r>
    </w:p>
    <w:p w14:paraId="7AE815EA" w14:textId="77777777" w:rsidR="00E13BCB" w:rsidRDefault="00E13BCB" w:rsidP="00E13BCB">
      <w:pPr>
        <w:rPr>
          <w:sz w:val="28"/>
          <w:szCs w:val="28"/>
        </w:rPr>
      </w:pPr>
    </w:p>
    <w:p w14:paraId="349DB32F" w14:textId="0A728C18" w:rsidR="00E13BCB" w:rsidRDefault="00E13BCB" w:rsidP="00E13BCB">
      <w:pPr>
        <w:rPr>
          <w:sz w:val="28"/>
          <w:szCs w:val="28"/>
        </w:rPr>
      </w:pPr>
      <w:r w:rsidRPr="002C28FA">
        <w:rPr>
          <w:sz w:val="28"/>
          <w:szCs w:val="28"/>
        </w:rPr>
        <w:t>Urquhart, Brian</w:t>
      </w:r>
      <w:r>
        <w:rPr>
          <w:sz w:val="28"/>
          <w:szCs w:val="28"/>
        </w:rPr>
        <w:t>.</w:t>
      </w:r>
      <w:r w:rsidRPr="002C28FA">
        <w:rPr>
          <w:sz w:val="28"/>
          <w:szCs w:val="28"/>
        </w:rPr>
        <w:t xml:space="preserve"> </w:t>
      </w:r>
      <w:r w:rsidRPr="002C28FA">
        <w:rPr>
          <w:i/>
          <w:sz w:val="28"/>
          <w:szCs w:val="28"/>
        </w:rPr>
        <w:t>Ralph Bunche, An American Life</w:t>
      </w:r>
      <w:r>
        <w:rPr>
          <w:i/>
          <w:sz w:val="28"/>
          <w:szCs w:val="28"/>
        </w:rPr>
        <w:t xml:space="preserve">. </w:t>
      </w:r>
      <w:r w:rsidRPr="002C28FA">
        <w:rPr>
          <w:sz w:val="28"/>
          <w:szCs w:val="28"/>
        </w:rPr>
        <w:t>New York: W.W. Norton &amp; Co., 1993</w:t>
      </w:r>
      <w:r>
        <w:rPr>
          <w:sz w:val="28"/>
          <w:szCs w:val="28"/>
        </w:rPr>
        <w:t>.</w:t>
      </w:r>
    </w:p>
    <w:p w14:paraId="67752E43" w14:textId="157CAD5D" w:rsidR="0051023F" w:rsidRDefault="0051023F" w:rsidP="00E13BCB">
      <w:pPr>
        <w:rPr>
          <w:sz w:val="28"/>
          <w:szCs w:val="28"/>
        </w:rPr>
      </w:pPr>
    </w:p>
    <w:p w14:paraId="6B138746" w14:textId="224A627C" w:rsidR="0051023F" w:rsidRDefault="0051023F" w:rsidP="00E13BCB">
      <w:pPr>
        <w:rPr>
          <w:sz w:val="28"/>
          <w:szCs w:val="28"/>
        </w:rPr>
      </w:pPr>
      <w:r w:rsidRPr="00187075">
        <w:rPr>
          <w:sz w:val="28"/>
          <w:szCs w:val="28"/>
        </w:rPr>
        <w:t xml:space="preserve">Van </w:t>
      </w:r>
      <w:proofErr w:type="spellStart"/>
      <w:r w:rsidRPr="00187075">
        <w:rPr>
          <w:sz w:val="28"/>
          <w:szCs w:val="28"/>
        </w:rPr>
        <w:t>Kleffens</w:t>
      </w:r>
      <w:proofErr w:type="spellEnd"/>
      <w:r>
        <w:rPr>
          <w:sz w:val="28"/>
          <w:szCs w:val="28"/>
        </w:rPr>
        <w:t>.</w:t>
      </w:r>
      <w:r w:rsidRPr="00187075">
        <w:rPr>
          <w:sz w:val="28"/>
          <w:szCs w:val="28"/>
        </w:rPr>
        <w:t xml:space="preserve"> E. N. </w:t>
      </w:r>
      <w:r w:rsidRPr="00187075">
        <w:rPr>
          <w:i/>
          <w:sz w:val="28"/>
          <w:szCs w:val="28"/>
        </w:rPr>
        <w:t>Sovereignty in International Law: Five Lectures</w:t>
      </w:r>
      <w:r>
        <w:rPr>
          <w:i/>
          <w:sz w:val="28"/>
          <w:szCs w:val="28"/>
        </w:rPr>
        <w:t>.</w:t>
      </w:r>
      <w:r w:rsidRPr="00187075">
        <w:rPr>
          <w:i/>
          <w:sz w:val="28"/>
          <w:szCs w:val="28"/>
        </w:rPr>
        <w:t xml:space="preserve"> </w:t>
      </w:r>
      <w:r w:rsidRPr="00187075">
        <w:rPr>
          <w:sz w:val="28"/>
          <w:szCs w:val="28"/>
        </w:rPr>
        <w:t>The Hague Academy of International Law, 1953, Vol 82</w:t>
      </w:r>
      <w:r>
        <w:rPr>
          <w:sz w:val="28"/>
          <w:szCs w:val="28"/>
        </w:rPr>
        <w:t>.</w:t>
      </w:r>
      <w:r w:rsidRPr="00187075">
        <w:rPr>
          <w:sz w:val="28"/>
          <w:szCs w:val="28"/>
        </w:rPr>
        <w:t xml:space="preserve"> </w:t>
      </w:r>
      <w:proofErr w:type="spellStart"/>
      <w:r w:rsidRPr="00187075">
        <w:rPr>
          <w:sz w:val="28"/>
          <w:szCs w:val="28"/>
        </w:rPr>
        <w:t>Leyde</w:t>
      </w:r>
      <w:proofErr w:type="spellEnd"/>
      <w:r w:rsidRPr="00187075">
        <w:rPr>
          <w:sz w:val="28"/>
          <w:szCs w:val="28"/>
        </w:rPr>
        <w:t xml:space="preserve">: A. W </w:t>
      </w:r>
      <w:proofErr w:type="spellStart"/>
      <w:r w:rsidRPr="00187075">
        <w:rPr>
          <w:sz w:val="28"/>
          <w:szCs w:val="28"/>
        </w:rPr>
        <w:t>Sijthoff</w:t>
      </w:r>
      <w:proofErr w:type="spellEnd"/>
      <w:r w:rsidRPr="00187075">
        <w:rPr>
          <w:sz w:val="28"/>
          <w:szCs w:val="28"/>
        </w:rPr>
        <w:t>, 1954</w:t>
      </w:r>
      <w:r>
        <w:rPr>
          <w:sz w:val="28"/>
          <w:szCs w:val="28"/>
        </w:rPr>
        <w:t>,</w:t>
      </w:r>
      <w:r w:rsidRPr="00187075">
        <w:rPr>
          <w:sz w:val="28"/>
          <w:szCs w:val="28"/>
        </w:rPr>
        <w:t xml:space="preserve"> 1-131</w:t>
      </w:r>
      <w:r>
        <w:rPr>
          <w:sz w:val="28"/>
          <w:szCs w:val="28"/>
        </w:rPr>
        <w:t>.</w:t>
      </w:r>
    </w:p>
    <w:p w14:paraId="20EFF19C" w14:textId="77777777" w:rsidR="00E13BCB" w:rsidRDefault="00E13BCB" w:rsidP="00E13BCB">
      <w:pPr>
        <w:rPr>
          <w:sz w:val="28"/>
          <w:szCs w:val="28"/>
        </w:rPr>
      </w:pPr>
    </w:p>
    <w:p w14:paraId="3014B7DA" w14:textId="77777777" w:rsidR="00E13BCB" w:rsidRDefault="00E13BCB" w:rsidP="00E13BCB">
      <w:pPr>
        <w:rPr>
          <w:sz w:val="28"/>
          <w:szCs w:val="28"/>
        </w:rPr>
      </w:pPr>
      <w:r w:rsidRPr="00510AA9">
        <w:rPr>
          <w:sz w:val="28"/>
          <w:szCs w:val="28"/>
        </w:rPr>
        <w:t>Voss</w:t>
      </w:r>
      <w:r>
        <w:rPr>
          <w:sz w:val="28"/>
          <w:szCs w:val="28"/>
        </w:rPr>
        <w:t xml:space="preserve">, </w:t>
      </w:r>
      <w:r w:rsidRPr="00510AA9">
        <w:rPr>
          <w:sz w:val="28"/>
          <w:szCs w:val="28"/>
        </w:rPr>
        <w:t>Carl</w:t>
      </w:r>
      <w:r>
        <w:rPr>
          <w:sz w:val="28"/>
          <w:szCs w:val="28"/>
        </w:rPr>
        <w:t>.</w:t>
      </w:r>
      <w:r w:rsidRPr="00510AA9">
        <w:rPr>
          <w:sz w:val="28"/>
          <w:szCs w:val="28"/>
        </w:rPr>
        <w:t xml:space="preserve"> “Palestine: Acid Test of the United Nations”, </w:t>
      </w:r>
      <w:r w:rsidRPr="00510AA9">
        <w:rPr>
          <w:i/>
          <w:sz w:val="28"/>
          <w:szCs w:val="28"/>
        </w:rPr>
        <w:t xml:space="preserve">The Annals of the American Academy of Political and Social Science, </w:t>
      </w:r>
      <w:r w:rsidRPr="00510AA9">
        <w:rPr>
          <w:sz w:val="28"/>
          <w:szCs w:val="28"/>
        </w:rPr>
        <w:t>Vol. 258, Looking toward One World (Jul</w:t>
      </w:r>
      <w:r>
        <w:rPr>
          <w:sz w:val="28"/>
          <w:szCs w:val="28"/>
        </w:rPr>
        <w:t>y</w:t>
      </w:r>
      <w:r w:rsidRPr="00510AA9">
        <w:rPr>
          <w:sz w:val="28"/>
          <w:szCs w:val="28"/>
        </w:rPr>
        <w:t>, 1948)</w:t>
      </w:r>
      <w:r>
        <w:rPr>
          <w:sz w:val="28"/>
          <w:szCs w:val="28"/>
        </w:rPr>
        <w:t>: 14-21.</w:t>
      </w:r>
    </w:p>
    <w:p w14:paraId="25DDF94B" w14:textId="77777777" w:rsidR="00E13BCB" w:rsidRDefault="00E13BCB" w:rsidP="00E13BCB">
      <w:pPr>
        <w:rPr>
          <w:sz w:val="28"/>
          <w:szCs w:val="28"/>
        </w:rPr>
      </w:pPr>
    </w:p>
    <w:p w14:paraId="4FB17694" w14:textId="77777777" w:rsidR="00E13BCB" w:rsidRDefault="00E13BCB" w:rsidP="00E13BCB">
      <w:pPr>
        <w:rPr>
          <w:sz w:val="28"/>
          <w:szCs w:val="28"/>
        </w:rPr>
      </w:pPr>
      <w:r w:rsidRPr="002F2944">
        <w:rPr>
          <w:sz w:val="28"/>
          <w:szCs w:val="28"/>
        </w:rPr>
        <w:t>Williams, Sir John Fischer</w:t>
      </w:r>
      <w:r>
        <w:rPr>
          <w:sz w:val="28"/>
          <w:szCs w:val="28"/>
        </w:rPr>
        <w:t>.</w:t>
      </w:r>
      <w:r w:rsidRPr="002F2944">
        <w:rPr>
          <w:sz w:val="28"/>
          <w:szCs w:val="28"/>
        </w:rPr>
        <w:t xml:space="preserve"> </w:t>
      </w:r>
      <w:r w:rsidRPr="002F2944">
        <w:rPr>
          <w:i/>
          <w:sz w:val="28"/>
          <w:szCs w:val="28"/>
        </w:rPr>
        <w:t>Chapters on Current International Law and the League of Nations</w:t>
      </w:r>
      <w:r>
        <w:rPr>
          <w:i/>
          <w:sz w:val="28"/>
          <w:szCs w:val="28"/>
        </w:rPr>
        <w:t>.</w:t>
      </w:r>
      <w:r w:rsidRPr="002F2944">
        <w:rPr>
          <w:i/>
          <w:sz w:val="28"/>
          <w:szCs w:val="28"/>
        </w:rPr>
        <w:t xml:space="preserve"> </w:t>
      </w:r>
      <w:r w:rsidRPr="002F2944">
        <w:rPr>
          <w:sz w:val="28"/>
          <w:szCs w:val="28"/>
        </w:rPr>
        <w:t>London: Longmans, Green and Co, 1929</w:t>
      </w:r>
      <w:r>
        <w:rPr>
          <w:sz w:val="28"/>
          <w:szCs w:val="28"/>
        </w:rPr>
        <w:t>.</w:t>
      </w:r>
    </w:p>
    <w:p w14:paraId="661EFEC7" w14:textId="77777777" w:rsidR="00E13BCB" w:rsidRDefault="00E13BCB" w:rsidP="00E13BCB">
      <w:pPr>
        <w:rPr>
          <w:sz w:val="28"/>
          <w:szCs w:val="28"/>
        </w:rPr>
      </w:pPr>
    </w:p>
    <w:p w14:paraId="4E211187" w14:textId="77777777" w:rsidR="00E13BCB" w:rsidRPr="00F624A7" w:rsidRDefault="00E13BCB" w:rsidP="00E13BCB">
      <w:pPr>
        <w:rPr>
          <w:sz w:val="28"/>
          <w:szCs w:val="28"/>
        </w:rPr>
      </w:pPr>
      <w:r w:rsidRPr="00F624A7">
        <w:rPr>
          <w:sz w:val="28"/>
          <w:szCs w:val="28"/>
        </w:rPr>
        <w:t xml:space="preserve">Woolsey, Lester H. </w:t>
      </w:r>
      <w:r>
        <w:rPr>
          <w:sz w:val="28"/>
          <w:szCs w:val="28"/>
        </w:rPr>
        <w:t>“</w:t>
      </w:r>
      <w:r w:rsidRPr="00F624A7">
        <w:rPr>
          <w:sz w:val="28"/>
          <w:szCs w:val="28"/>
        </w:rPr>
        <w:t>Peace with Justice--A Commentary</w:t>
      </w:r>
      <w:r>
        <w:rPr>
          <w:sz w:val="28"/>
          <w:szCs w:val="28"/>
        </w:rPr>
        <w:t>”</w:t>
      </w:r>
      <w:r w:rsidRPr="00F624A7">
        <w:rPr>
          <w:sz w:val="28"/>
          <w:szCs w:val="28"/>
        </w:rPr>
        <w:t>, 51 Am</w:t>
      </w:r>
      <w:r>
        <w:rPr>
          <w:sz w:val="28"/>
          <w:szCs w:val="28"/>
        </w:rPr>
        <w:t>erican</w:t>
      </w:r>
      <w:r w:rsidRPr="00F624A7">
        <w:rPr>
          <w:sz w:val="28"/>
          <w:szCs w:val="28"/>
        </w:rPr>
        <w:t xml:space="preserve"> Soc</w:t>
      </w:r>
      <w:r>
        <w:rPr>
          <w:sz w:val="28"/>
          <w:szCs w:val="28"/>
        </w:rPr>
        <w:t>iet</w:t>
      </w:r>
      <w:r w:rsidRPr="00F624A7">
        <w:rPr>
          <w:sz w:val="28"/>
          <w:szCs w:val="28"/>
        </w:rPr>
        <w:t>y</w:t>
      </w:r>
      <w:r>
        <w:rPr>
          <w:sz w:val="28"/>
          <w:szCs w:val="28"/>
        </w:rPr>
        <w:t xml:space="preserve"> of</w:t>
      </w:r>
      <w:r w:rsidRPr="00F624A7">
        <w:rPr>
          <w:sz w:val="28"/>
          <w:szCs w:val="28"/>
        </w:rPr>
        <w:t xml:space="preserve"> Int</w:t>
      </w:r>
      <w:r>
        <w:rPr>
          <w:sz w:val="28"/>
          <w:szCs w:val="28"/>
        </w:rPr>
        <w:t>ernationa</w:t>
      </w:r>
      <w:r w:rsidRPr="00F624A7">
        <w:rPr>
          <w:sz w:val="28"/>
          <w:szCs w:val="28"/>
        </w:rPr>
        <w:t>l L</w:t>
      </w:r>
      <w:r>
        <w:rPr>
          <w:sz w:val="28"/>
          <w:szCs w:val="28"/>
        </w:rPr>
        <w:t>aw</w:t>
      </w:r>
      <w:r w:rsidRPr="00F624A7">
        <w:rPr>
          <w:sz w:val="28"/>
          <w:szCs w:val="28"/>
        </w:rPr>
        <w:t xml:space="preserve"> Proc</w:t>
      </w:r>
      <w:r>
        <w:rPr>
          <w:sz w:val="28"/>
          <w:szCs w:val="28"/>
        </w:rPr>
        <w:t>eedings</w:t>
      </w:r>
      <w:r w:rsidRPr="00F624A7">
        <w:rPr>
          <w:sz w:val="28"/>
          <w:szCs w:val="28"/>
        </w:rPr>
        <w:t xml:space="preserve"> 57 (1957)</w:t>
      </w:r>
      <w:r>
        <w:rPr>
          <w:sz w:val="28"/>
          <w:szCs w:val="28"/>
        </w:rPr>
        <w:t>: 57-73.</w:t>
      </w:r>
    </w:p>
    <w:p w14:paraId="65AA3DD5" w14:textId="77777777" w:rsidR="00E13BCB" w:rsidRDefault="00E13BCB" w:rsidP="00E13BCB">
      <w:pPr>
        <w:rPr>
          <w:sz w:val="28"/>
          <w:szCs w:val="28"/>
        </w:rPr>
      </w:pPr>
    </w:p>
    <w:p w14:paraId="4F1313C2" w14:textId="77777777" w:rsidR="00E13BCB" w:rsidRDefault="00E13BCB" w:rsidP="00E13BCB">
      <w:pPr>
        <w:rPr>
          <w:sz w:val="28"/>
          <w:szCs w:val="28"/>
        </w:rPr>
      </w:pPr>
      <w:r w:rsidRPr="008B5A73">
        <w:rPr>
          <w:sz w:val="28"/>
          <w:szCs w:val="28"/>
        </w:rPr>
        <w:t>Wright,</w:t>
      </w:r>
      <w:r>
        <w:rPr>
          <w:sz w:val="28"/>
          <w:szCs w:val="28"/>
        </w:rPr>
        <w:t xml:space="preserve"> </w:t>
      </w:r>
      <w:r w:rsidRPr="008B5A73">
        <w:rPr>
          <w:sz w:val="28"/>
          <w:szCs w:val="28"/>
        </w:rPr>
        <w:t>Esmond</w:t>
      </w:r>
      <w:r>
        <w:rPr>
          <w:sz w:val="28"/>
          <w:szCs w:val="28"/>
        </w:rPr>
        <w:t>.</w:t>
      </w:r>
      <w:r w:rsidRPr="008B5A73">
        <w:rPr>
          <w:sz w:val="28"/>
          <w:szCs w:val="28"/>
        </w:rPr>
        <w:t xml:space="preserve"> “Abdallah's Jordan: 1947-1951”, </w:t>
      </w:r>
      <w:r w:rsidRPr="008B5A73">
        <w:rPr>
          <w:i/>
          <w:sz w:val="28"/>
          <w:szCs w:val="28"/>
        </w:rPr>
        <w:t xml:space="preserve">Middle East Journal, </w:t>
      </w:r>
      <w:r w:rsidRPr="008B5A73">
        <w:rPr>
          <w:sz w:val="28"/>
          <w:szCs w:val="28"/>
        </w:rPr>
        <w:t>Vol. 5, No. 4 (Autumn, 1951)</w:t>
      </w:r>
      <w:r>
        <w:rPr>
          <w:sz w:val="28"/>
          <w:szCs w:val="28"/>
        </w:rPr>
        <w:t>:</w:t>
      </w:r>
      <w:r w:rsidRPr="008B5A73">
        <w:rPr>
          <w:sz w:val="28"/>
          <w:szCs w:val="28"/>
        </w:rPr>
        <w:t xml:space="preserve"> 439</w:t>
      </w:r>
      <w:r>
        <w:rPr>
          <w:sz w:val="28"/>
          <w:szCs w:val="28"/>
        </w:rPr>
        <w:t>-460.</w:t>
      </w:r>
    </w:p>
    <w:p w14:paraId="29E9CB3A" w14:textId="77777777" w:rsidR="00E13BCB" w:rsidRPr="002C28FA" w:rsidRDefault="00E13BCB" w:rsidP="00E13BCB">
      <w:pPr>
        <w:rPr>
          <w:i/>
          <w:sz w:val="28"/>
          <w:szCs w:val="28"/>
        </w:rPr>
      </w:pPr>
    </w:p>
    <w:p w14:paraId="09262A12" w14:textId="77777777" w:rsidR="00E13BCB" w:rsidRDefault="00E13BCB" w:rsidP="00E13BCB">
      <w:pPr>
        <w:rPr>
          <w:sz w:val="28"/>
          <w:szCs w:val="28"/>
        </w:rPr>
      </w:pPr>
      <w:r w:rsidRPr="009F5F6A">
        <w:rPr>
          <w:sz w:val="28"/>
          <w:szCs w:val="28"/>
        </w:rPr>
        <w:t>Wright, Quincy. "The Palestine Problem." </w:t>
      </w:r>
      <w:r w:rsidRPr="009F5F6A">
        <w:rPr>
          <w:i/>
          <w:iCs/>
          <w:sz w:val="28"/>
          <w:szCs w:val="28"/>
        </w:rPr>
        <w:t>Political Science Quarterly</w:t>
      </w:r>
      <w:r w:rsidRPr="009F5F6A">
        <w:rPr>
          <w:sz w:val="28"/>
          <w:szCs w:val="28"/>
        </w:rPr>
        <w:t xml:space="preserve"> 41, no. 3 (1926): 384-412. </w:t>
      </w:r>
    </w:p>
    <w:p w14:paraId="18289848" w14:textId="77777777" w:rsidR="00E13BCB" w:rsidRDefault="00E13BCB" w:rsidP="00E13BCB">
      <w:pPr>
        <w:rPr>
          <w:sz w:val="28"/>
          <w:szCs w:val="28"/>
        </w:rPr>
      </w:pPr>
    </w:p>
    <w:p w14:paraId="6866CE48" w14:textId="77777777" w:rsidR="00E13BCB" w:rsidRPr="009F5F6A" w:rsidRDefault="00E13BCB" w:rsidP="00E13BCB">
      <w:pPr>
        <w:rPr>
          <w:sz w:val="28"/>
          <w:szCs w:val="28"/>
        </w:rPr>
      </w:pPr>
      <w:r w:rsidRPr="00E67A4D">
        <w:rPr>
          <w:sz w:val="28"/>
          <w:szCs w:val="28"/>
        </w:rPr>
        <w:t>Wright, Quincy. </w:t>
      </w:r>
      <w:r w:rsidRPr="00E67A4D">
        <w:rPr>
          <w:i/>
          <w:iCs/>
          <w:sz w:val="28"/>
          <w:szCs w:val="28"/>
        </w:rPr>
        <w:t>The American Journal of International Law</w:t>
      </w:r>
      <w:r w:rsidRPr="00E67A4D">
        <w:rPr>
          <w:sz w:val="28"/>
          <w:szCs w:val="28"/>
        </w:rPr>
        <w:t> 23, no. 3 (1929): 728-29</w:t>
      </w:r>
      <w:r>
        <w:rPr>
          <w:sz w:val="28"/>
          <w:szCs w:val="28"/>
        </w:rPr>
        <w:t xml:space="preserve">. </w:t>
      </w:r>
      <w:r w:rsidRPr="00E67A4D">
        <w:rPr>
          <w:sz w:val="28"/>
          <w:szCs w:val="28"/>
        </w:rPr>
        <w:t xml:space="preserve"> </w:t>
      </w:r>
      <w:r>
        <w:rPr>
          <w:sz w:val="28"/>
          <w:szCs w:val="28"/>
        </w:rPr>
        <w:t>R</w:t>
      </w:r>
      <w:r w:rsidRPr="00E67A4D">
        <w:rPr>
          <w:sz w:val="28"/>
          <w:szCs w:val="28"/>
        </w:rPr>
        <w:t>eview</w:t>
      </w:r>
      <w:r>
        <w:rPr>
          <w:sz w:val="28"/>
          <w:szCs w:val="28"/>
        </w:rPr>
        <w:t xml:space="preserve"> of</w:t>
      </w:r>
      <w:r w:rsidRPr="00E67A4D">
        <w:rPr>
          <w:sz w:val="28"/>
          <w:szCs w:val="28"/>
        </w:rPr>
        <w:t xml:space="preserve"> </w:t>
      </w:r>
      <w:r w:rsidRPr="00E67A4D">
        <w:rPr>
          <w:b/>
          <w:sz w:val="28"/>
          <w:szCs w:val="28"/>
        </w:rPr>
        <w:t xml:space="preserve">J. </w:t>
      </w:r>
      <w:r w:rsidRPr="00E67A4D">
        <w:rPr>
          <w:sz w:val="28"/>
          <w:szCs w:val="28"/>
        </w:rPr>
        <w:t>Stoyanovsky</w:t>
      </w:r>
      <w:r>
        <w:rPr>
          <w:sz w:val="28"/>
          <w:szCs w:val="28"/>
        </w:rPr>
        <w:t>.</w:t>
      </w:r>
      <w:r w:rsidRPr="00E67A4D">
        <w:rPr>
          <w:sz w:val="28"/>
          <w:szCs w:val="28"/>
        </w:rPr>
        <w:t xml:space="preserve"> </w:t>
      </w:r>
      <w:r w:rsidRPr="00E67A4D">
        <w:rPr>
          <w:i/>
          <w:sz w:val="28"/>
          <w:szCs w:val="28"/>
        </w:rPr>
        <w:t>The Mandate for Palestine</w:t>
      </w:r>
      <w:r>
        <w:rPr>
          <w:i/>
          <w:sz w:val="28"/>
          <w:szCs w:val="28"/>
        </w:rPr>
        <w:t>.</w:t>
      </w:r>
      <w:r w:rsidRPr="00E67A4D">
        <w:rPr>
          <w:i/>
          <w:sz w:val="28"/>
          <w:szCs w:val="28"/>
        </w:rPr>
        <w:t xml:space="preserve"> </w:t>
      </w:r>
      <w:r w:rsidRPr="00E67A4D">
        <w:rPr>
          <w:sz w:val="28"/>
          <w:szCs w:val="28"/>
        </w:rPr>
        <w:t>New York: Longmans, Green and Co., 1928</w:t>
      </w:r>
      <w:r>
        <w:rPr>
          <w:sz w:val="28"/>
          <w:szCs w:val="28"/>
        </w:rPr>
        <w:t>.</w:t>
      </w:r>
    </w:p>
    <w:p w14:paraId="4B048EFA" w14:textId="77777777" w:rsidR="00E13BCB" w:rsidRDefault="00E13BCB" w:rsidP="00E13BCB">
      <w:pPr>
        <w:rPr>
          <w:sz w:val="28"/>
          <w:szCs w:val="28"/>
        </w:rPr>
      </w:pPr>
    </w:p>
    <w:p w14:paraId="08EDD91A" w14:textId="77777777" w:rsidR="00E13BCB" w:rsidRDefault="00E13BCB" w:rsidP="00E13BCB">
      <w:pPr>
        <w:rPr>
          <w:sz w:val="28"/>
          <w:szCs w:val="28"/>
        </w:rPr>
      </w:pPr>
      <w:r w:rsidRPr="00866F42">
        <w:rPr>
          <w:sz w:val="28"/>
          <w:szCs w:val="28"/>
        </w:rPr>
        <w:t>Wright, Quincy</w:t>
      </w:r>
      <w:r>
        <w:rPr>
          <w:sz w:val="28"/>
          <w:szCs w:val="28"/>
        </w:rPr>
        <w:t>.</w:t>
      </w:r>
      <w:r w:rsidRPr="00866F42">
        <w:rPr>
          <w:sz w:val="28"/>
          <w:szCs w:val="28"/>
        </w:rPr>
        <w:t xml:space="preserve"> </w:t>
      </w:r>
      <w:r w:rsidRPr="00866F42">
        <w:rPr>
          <w:i/>
          <w:sz w:val="28"/>
          <w:szCs w:val="28"/>
        </w:rPr>
        <w:t>Mandates Under the League of Nations</w:t>
      </w:r>
      <w:r>
        <w:rPr>
          <w:i/>
          <w:sz w:val="28"/>
          <w:szCs w:val="28"/>
        </w:rPr>
        <w:t>.</w:t>
      </w:r>
      <w:r w:rsidRPr="00866F42">
        <w:rPr>
          <w:i/>
          <w:sz w:val="28"/>
          <w:szCs w:val="28"/>
        </w:rPr>
        <w:t xml:space="preserve"> </w:t>
      </w:r>
      <w:r w:rsidRPr="00866F42">
        <w:rPr>
          <w:sz w:val="28"/>
          <w:szCs w:val="28"/>
        </w:rPr>
        <w:t>Chicago: University of Chicago Press, 1930</w:t>
      </w:r>
      <w:r>
        <w:rPr>
          <w:sz w:val="28"/>
          <w:szCs w:val="28"/>
        </w:rPr>
        <w:t>.</w:t>
      </w:r>
    </w:p>
    <w:p w14:paraId="27AE6A7A" w14:textId="77777777" w:rsidR="00E13BCB" w:rsidRDefault="00E13BCB" w:rsidP="00E13BCB">
      <w:pPr>
        <w:rPr>
          <w:sz w:val="28"/>
          <w:szCs w:val="28"/>
        </w:rPr>
      </w:pPr>
    </w:p>
    <w:p w14:paraId="69378E5A" w14:textId="77777777" w:rsidR="00E13BCB" w:rsidRPr="00B26C0B" w:rsidRDefault="00E13BCB" w:rsidP="00E13BCB">
      <w:pPr>
        <w:rPr>
          <w:sz w:val="28"/>
          <w:szCs w:val="28"/>
        </w:rPr>
      </w:pPr>
      <w:r w:rsidRPr="00B26C0B">
        <w:rPr>
          <w:sz w:val="28"/>
          <w:szCs w:val="28"/>
        </w:rPr>
        <w:t xml:space="preserve">Wright, Quincy, Harold Tobin and Chesney Hill. “Article 19 of the League Covenant and the Doctrine ‘Rebus Sic Stantibus’.” </w:t>
      </w:r>
      <w:r w:rsidRPr="00B26C0B">
        <w:rPr>
          <w:i/>
          <w:sz w:val="28"/>
          <w:szCs w:val="28"/>
        </w:rPr>
        <w:t xml:space="preserve">Proceedings of the American Society of International Law at Its Annual Meeting (1921-1969), </w:t>
      </w:r>
      <w:r w:rsidRPr="00B26C0B">
        <w:rPr>
          <w:sz w:val="28"/>
          <w:szCs w:val="28"/>
        </w:rPr>
        <w:t>Vol. 30 (APRIL 23-25, 1936):  55-86.</w:t>
      </w:r>
    </w:p>
    <w:p w14:paraId="135D1034" w14:textId="77777777" w:rsidR="00E13BCB" w:rsidRDefault="00E13BCB" w:rsidP="00E13BCB">
      <w:pPr>
        <w:rPr>
          <w:sz w:val="28"/>
          <w:szCs w:val="28"/>
        </w:rPr>
      </w:pPr>
    </w:p>
    <w:p w14:paraId="744357E1" w14:textId="77777777" w:rsidR="00E13BCB" w:rsidRPr="00866F42" w:rsidRDefault="00E13BCB" w:rsidP="00E13BCB">
      <w:pPr>
        <w:rPr>
          <w:sz w:val="28"/>
          <w:szCs w:val="28"/>
        </w:rPr>
      </w:pPr>
    </w:p>
    <w:p w14:paraId="568F4D65" w14:textId="77777777" w:rsidR="00E13BCB" w:rsidRPr="00D636B5" w:rsidRDefault="00E13BCB" w:rsidP="00E13BCB">
      <w:pPr>
        <w:rPr>
          <w:sz w:val="28"/>
          <w:szCs w:val="28"/>
        </w:rPr>
      </w:pPr>
    </w:p>
    <w:p w14:paraId="529902DE" w14:textId="77777777" w:rsidR="00E13BCB" w:rsidRPr="00D636B5" w:rsidRDefault="00E13BCB" w:rsidP="00E13BCB">
      <w:pPr>
        <w:rPr>
          <w:sz w:val="28"/>
          <w:szCs w:val="28"/>
        </w:rPr>
      </w:pPr>
    </w:p>
    <w:p w14:paraId="530FDD0F" w14:textId="77777777" w:rsidR="00E13BCB" w:rsidRDefault="00E13BCB" w:rsidP="00E13BCB">
      <w:pPr>
        <w:pStyle w:val="EndnoteText"/>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751619016"/>
      <w:docPartObj>
        <w:docPartGallery w:val="Page Numbers (Bottom of Page)"/>
        <w:docPartUnique/>
      </w:docPartObj>
    </w:sdtPr>
    <w:sdtEndPr>
      <w:rPr>
        <w:rStyle w:val="PageNumber"/>
      </w:rPr>
    </w:sdtEndPr>
    <w:sdtContent>
      <w:p w14:paraId="22A05D32" w14:textId="77777777" w:rsidR="005F195C" w:rsidRDefault="00EF75B0" w:rsidP="00D50FDB">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D240B58" w14:textId="77777777" w:rsidR="005F195C" w:rsidRDefault="008C7D9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801490525"/>
      <w:docPartObj>
        <w:docPartGallery w:val="Page Numbers (Bottom of Page)"/>
        <w:docPartUnique/>
      </w:docPartObj>
    </w:sdtPr>
    <w:sdtEndPr>
      <w:rPr>
        <w:rStyle w:val="PageNumber"/>
      </w:rPr>
    </w:sdtEndPr>
    <w:sdtContent>
      <w:p w14:paraId="6AD1A954" w14:textId="77777777" w:rsidR="005F195C" w:rsidRDefault="00EF75B0" w:rsidP="00D50FDB">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859FDF8" w14:textId="77777777" w:rsidR="005F195C" w:rsidRDefault="008C7D9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4C31EDB" w14:textId="77777777" w:rsidR="008C7D99" w:rsidRDefault="008C7D99" w:rsidP="00E13BCB">
      <w:r>
        <w:separator/>
      </w:r>
    </w:p>
  </w:footnote>
  <w:footnote w:type="continuationSeparator" w:id="0">
    <w:p w14:paraId="0AF86F90" w14:textId="77777777" w:rsidR="008C7D99" w:rsidRDefault="008C7D99" w:rsidP="00E13BC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106202D"/>
    <w:multiLevelType w:val="hybridMultilevel"/>
    <w:tmpl w:val="EA78C44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2"/>
  <w:proofState w:spelling="clean" w:grammar="clean"/>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3BCB"/>
    <w:rsid w:val="00202FA4"/>
    <w:rsid w:val="00365FDE"/>
    <w:rsid w:val="0051023F"/>
    <w:rsid w:val="008977AF"/>
    <w:rsid w:val="008C37D5"/>
    <w:rsid w:val="008C7D99"/>
    <w:rsid w:val="00C85282"/>
    <w:rsid w:val="00E13BCB"/>
    <w:rsid w:val="00EF75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782917B"/>
  <w14:defaultImageDpi w14:val="32767"/>
  <w15:chartTrackingRefBased/>
  <w15:docId w15:val="{8AC716D6-00DA-7741-9263-A381EBC482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E13BC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semiHidden/>
    <w:unhideWhenUsed/>
    <w:rsid w:val="00E13BCB"/>
    <w:rPr>
      <w:sz w:val="20"/>
      <w:szCs w:val="20"/>
    </w:rPr>
  </w:style>
  <w:style w:type="character" w:customStyle="1" w:styleId="EndnoteTextChar">
    <w:name w:val="Endnote Text Char"/>
    <w:basedOn w:val="DefaultParagraphFont"/>
    <w:link w:val="EndnoteText"/>
    <w:uiPriority w:val="99"/>
    <w:semiHidden/>
    <w:rsid w:val="00E13BCB"/>
    <w:rPr>
      <w:sz w:val="20"/>
      <w:szCs w:val="20"/>
    </w:rPr>
  </w:style>
  <w:style w:type="character" w:styleId="EndnoteReference">
    <w:name w:val="endnote reference"/>
    <w:basedOn w:val="DefaultParagraphFont"/>
    <w:uiPriority w:val="99"/>
    <w:semiHidden/>
    <w:unhideWhenUsed/>
    <w:rsid w:val="00E13BCB"/>
    <w:rPr>
      <w:vertAlign w:val="superscript"/>
    </w:rPr>
  </w:style>
  <w:style w:type="paragraph" w:styleId="Footer">
    <w:name w:val="footer"/>
    <w:basedOn w:val="Normal"/>
    <w:link w:val="FooterChar"/>
    <w:uiPriority w:val="99"/>
    <w:unhideWhenUsed/>
    <w:rsid w:val="00E13BCB"/>
    <w:pPr>
      <w:tabs>
        <w:tab w:val="center" w:pos="4680"/>
        <w:tab w:val="right" w:pos="9360"/>
      </w:tabs>
    </w:pPr>
  </w:style>
  <w:style w:type="character" w:customStyle="1" w:styleId="FooterChar">
    <w:name w:val="Footer Char"/>
    <w:basedOn w:val="DefaultParagraphFont"/>
    <w:link w:val="Footer"/>
    <w:uiPriority w:val="99"/>
    <w:rsid w:val="00E13BCB"/>
  </w:style>
  <w:style w:type="character" w:styleId="PageNumber">
    <w:name w:val="page number"/>
    <w:basedOn w:val="DefaultParagraphFont"/>
    <w:uiPriority w:val="99"/>
    <w:semiHidden/>
    <w:unhideWhenUsed/>
    <w:rsid w:val="00E13BCB"/>
  </w:style>
  <w:style w:type="character" w:styleId="Hyperlink">
    <w:name w:val="Hyperlink"/>
    <w:basedOn w:val="DefaultParagraphFont"/>
    <w:uiPriority w:val="99"/>
    <w:unhideWhenUsed/>
    <w:rsid w:val="00E13BCB"/>
    <w:rPr>
      <w:color w:val="0563C1" w:themeColor="hyperlink"/>
      <w:u w:val="single"/>
    </w:rPr>
  </w:style>
  <w:style w:type="paragraph" w:styleId="ListParagraph">
    <w:name w:val="List Paragraph"/>
    <w:basedOn w:val="Normal"/>
    <w:uiPriority w:val="34"/>
    <w:qFormat/>
    <w:rsid w:val="00E13BCB"/>
    <w:pPr>
      <w:ind w:left="720"/>
      <w:contextualSpacing/>
    </w:pPr>
  </w:style>
  <w:style w:type="paragraph" w:styleId="BodyText">
    <w:name w:val="Body Text"/>
    <w:basedOn w:val="Normal"/>
    <w:link w:val="BodyTextChar"/>
    <w:uiPriority w:val="99"/>
    <w:semiHidden/>
    <w:unhideWhenUsed/>
    <w:rsid w:val="00E13BCB"/>
    <w:pPr>
      <w:spacing w:after="120"/>
    </w:pPr>
  </w:style>
  <w:style w:type="character" w:customStyle="1" w:styleId="BodyTextChar">
    <w:name w:val="Body Text Char"/>
    <w:basedOn w:val="DefaultParagraphFont"/>
    <w:link w:val="BodyText"/>
    <w:uiPriority w:val="99"/>
    <w:semiHidden/>
    <w:rsid w:val="00E13BCB"/>
  </w:style>
  <w:style w:type="paragraph" w:styleId="Header">
    <w:name w:val="header"/>
    <w:basedOn w:val="Normal"/>
    <w:link w:val="HeaderChar"/>
    <w:uiPriority w:val="99"/>
    <w:unhideWhenUsed/>
    <w:rsid w:val="00E13BCB"/>
    <w:pPr>
      <w:tabs>
        <w:tab w:val="center" w:pos="4680"/>
        <w:tab w:val="right" w:pos="9360"/>
      </w:tabs>
    </w:pPr>
  </w:style>
  <w:style w:type="character" w:customStyle="1" w:styleId="HeaderChar">
    <w:name w:val="Header Char"/>
    <w:basedOn w:val="DefaultParagraphFont"/>
    <w:link w:val="Header"/>
    <w:uiPriority w:val="99"/>
    <w:rsid w:val="00E13BCB"/>
  </w:style>
  <w:style w:type="character" w:styleId="CommentReference">
    <w:name w:val="annotation reference"/>
    <w:basedOn w:val="DefaultParagraphFont"/>
    <w:uiPriority w:val="99"/>
    <w:semiHidden/>
    <w:unhideWhenUsed/>
    <w:rsid w:val="00E13BCB"/>
    <w:rPr>
      <w:sz w:val="16"/>
      <w:szCs w:val="16"/>
    </w:rPr>
  </w:style>
  <w:style w:type="paragraph" w:styleId="CommentText">
    <w:name w:val="annotation text"/>
    <w:basedOn w:val="Normal"/>
    <w:link w:val="CommentTextChar"/>
    <w:uiPriority w:val="99"/>
    <w:semiHidden/>
    <w:unhideWhenUsed/>
    <w:rsid w:val="00E13BCB"/>
    <w:rPr>
      <w:sz w:val="20"/>
      <w:szCs w:val="20"/>
    </w:rPr>
  </w:style>
  <w:style w:type="character" w:customStyle="1" w:styleId="CommentTextChar">
    <w:name w:val="Comment Text Char"/>
    <w:basedOn w:val="DefaultParagraphFont"/>
    <w:link w:val="CommentText"/>
    <w:uiPriority w:val="99"/>
    <w:semiHidden/>
    <w:rsid w:val="00E13BCB"/>
    <w:rPr>
      <w:sz w:val="20"/>
      <w:szCs w:val="20"/>
    </w:rPr>
  </w:style>
  <w:style w:type="paragraph" w:styleId="CommentSubject">
    <w:name w:val="annotation subject"/>
    <w:basedOn w:val="CommentText"/>
    <w:next w:val="CommentText"/>
    <w:link w:val="CommentSubjectChar"/>
    <w:uiPriority w:val="99"/>
    <w:semiHidden/>
    <w:unhideWhenUsed/>
    <w:rsid w:val="00E13BCB"/>
    <w:rPr>
      <w:b/>
      <w:bCs/>
    </w:rPr>
  </w:style>
  <w:style w:type="character" w:customStyle="1" w:styleId="CommentSubjectChar">
    <w:name w:val="Comment Subject Char"/>
    <w:basedOn w:val="CommentTextChar"/>
    <w:link w:val="CommentSubject"/>
    <w:uiPriority w:val="99"/>
    <w:semiHidden/>
    <w:rsid w:val="00E13BCB"/>
    <w:rPr>
      <w:b/>
      <w:bCs/>
      <w:sz w:val="20"/>
      <w:szCs w:val="20"/>
    </w:rPr>
  </w:style>
  <w:style w:type="paragraph" w:styleId="BalloonText">
    <w:name w:val="Balloon Text"/>
    <w:basedOn w:val="Normal"/>
    <w:link w:val="BalloonTextChar"/>
    <w:uiPriority w:val="99"/>
    <w:semiHidden/>
    <w:unhideWhenUsed/>
    <w:rsid w:val="00E13BCB"/>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E13BCB"/>
    <w:rPr>
      <w:rFonts w:ascii="Times New Roman" w:hAnsi="Times New Roman" w:cs="Times New Roman"/>
      <w:sz w:val="18"/>
      <w:szCs w:val="18"/>
    </w:rPr>
  </w:style>
  <w:style w:type="character" w:styleId="UnresolvedMention">
    <w:name w:val="Unresolved Mention"/>
    <w:basedOn w:val="DefaultParagraphFont"/>
    <w:uiPriority w:val="99"/>
    <w:rsid w:val="00E13BCB"/>
    <w:rPr>
      <w:color w:val="605E5C"/>
      <w:shd w:val="clear" w:color="auto" w:fill="E1DFDD"/>
    </w:rPr>
  </w:style>
  <w:style w:type="character" w:styleId="FollowedHyperlink">
    <w:name w:val="FollowedHyperlink"/>
    <w:basedOn w:val="DefaultParagraphFont"/>
    <w:uiPriority w:val="99"/>
    <w:semiHidden/>
    <w:unhideWhenUsed/>
    <w:rsid w:val="00E13BC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endnotes.xml.rels><?xml version="1.0" encoding="UTF-8" standalone="yes"?>
<Relationships xmlns="http://schemas.openxmlformats.org/package/2006/relationships"><Relationship Id="rId8" Type="http://schemas.openxmlformats.org/officeDocument/2006/relationships/hyperlink" Target="https://digitallibrary.un.org/record/703168?ln=en" TargetMode="External"/><Relationship Id="rId3" Type="http://schemas.openxmlformats.org/officeDocument/2006/relationships/hyperlink" Target="https://unispal.un.org/DPA/DPR/unispal.nsf/0/C758572B78D1CD0085256BCF0077E51A" TargetMode="External"/><Relationship Id="rId7" Type="http://schemas.openxmlformats.org/officeDocument/2006/relationships/hyperlink" Target="https://digitallibrary.un.org/record/1482480/files/A_C-6_SR-35_59-EN.pdf" TargetMode="External"/><Relationship Id="rId2" Type="http://schemas.openxmlformats.org/officeDocument/2006/relationships/hyperlink" Target="https://digitallibrary.un.org/record/703168?ln=en" TargetMode="External"/><Relationship Id="rId1" Type="http://schemas.openxmlformats.org/officeDocument/2006/relationships/hyperlink" Target="http://digitization.s3.amazonaws.com/dgacm_bak/GA003-1948/PDF/A_C_1_SR_142-236-E-F.pdf" TargetMode="External"/><Relationship Id="rId6" Type="http://schemas.openxmlformats.org/officeDocument/2006/relationships/hyperlink" Target="http://digitization.s3.amazonaws.com/dgacm_bak/GA003-1948/PDF/A_C_1_SR_142-236-E-F.pdf" TargetMode="External"/><Relationship Id="rId5" Type="http://schemas.openxmlformats.org/officeDocument/2006/relationships/hyperlink" Target="https://digitallibrary.un.org/record/605950?ln=en" TargetMode="External"/><Relationship Id="rId10" Type="http://schemas.openxmlformats.org/officeDocument/2006/relationships/hyperlink" Target="https://digitallibrary.un.org/record/605950?ln=en" TargetMode="External"/><Relationship Id="rId4" Type="http://schemas.openxmlformats.org/officeDocument/2006/relationships/hyperlink" Target="https://digitallibrary.un.org/record/1482480/files/A_C-6_SR-35_59-EN.pdf" TargetMode="External"/><Relationship Id="rId9" Type="http://schemas.openxmlformats.org/officeDocument/2006/relationships/hyperlink" Target="https://unispal.un.org/DPA/DPR/unispal.nsf/0/C758572B78D1CD0085256BCF0077E51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53</Pages>
  <Words>12405</Words>
  <Characters>70711</Characters>
  <Application>Microsoft Office Word</Application>
  <DocSecurity>0</DocSecurity>
  <Lines>589</Lines>
  <Paragraphs>165</Paragraphs>
  <ScaleCrop>false</ScaleCrop>
  <Company/>
  <LinksUpToDate>false</LinksUpToDate>
  <CharactersWithSpaces>82951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zaccai lewis</dc:creator>
  <cp:keywords/>
  <dc:description/>
  <cp:lastModifiedBy>zaccai lewis</cp:lastModifiedBy>
  <cp:revision>3</cp:revision>
  <dcterms:created xsi:type="dcterms:W3CDTF">2021-02-06T00:37:00Z</dcterms:created>
  <dcterms:modified xsi:type="dcterms:W3CDTF">2021-02-06T02:42:00Z</dcterms:modified>
</cp:coreProperties>
</file>