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617051" w14:textId="77777777" w:rsidR="00A97A17" w:rsidRDefault="00A97A17" w:rsidP="00A97A17">
      <w:pPr>
        <w:rPr>
          <w:b/>
          <w:sz w:val="28"/>
          <w:szCs w:val="28"/>
        </w:rPr>
      </w:pPr>
    </w:p>
    <w:p w14:paraId="2F38D397" w14:textId="77777777" w:rsidR="00A97A17" w:rsidRDefault="00A97A17" w:rsidP="00A97A17">
      <w:pPr>
        <w:rPr>
          <w:sz w:val="28"/>
          <w:szCs w:val="28"/>
        </w:rPr>
      </w:pPr>
    </w:p>
    <w:p w14:paraId="321A1808" w14:textId="77777777" w:rsidR="00A97A17" w:rsidRDefault="00A97A17" w:rsidP="00A97A17">
      <w:pPr>
        <w:rPr>
          <w:sz w:val="28"/>
          <w:szCs w:val="28"/>
        </w:rPr>
      </w:pPr>
    </w:p>
    <w:p w14:paraId="2E18AC05" w14:textId="77777777" w:rsidR="00A97A17" w:rsidRPr="00A85ED5" w:rsidRDefault="00A97A17" w:rsidP="00A97A17">
      <w:pPr>
        <w:rPr>
          <w:sz w:val="28"/>
          <w:szCs w:val="28"/>
        </w:rPr>
      </w:pPr>
    </w:p>
    <w:p w14:paraId="038C0FBD" w14:textId="77777777" w:rsidR="00A97A17" w:rsidRPr="000C3559" w:rsidRDefault="00A97A17" w:rsidP="00A97A17">
      <w:pPr>
        <w:rPr>
          <w:b/>
          <w:sz w:val="28"/>
          <w:szCs w:val="28"/>
        </w:rPr>
      </w:pPr>
      <w:r>
        <w:rPr>
          <w:b/>
          <w:sz w:val="28"/>
          <w:szCs w:val="28"/>
        </w:rPr>
        <w:t>Creating a Separate Body: The Attempts to Internationalize Jerusalem, 1947-1950</w:t>
      </w:r>
    </w:p>
    <w:p w14:paraId="2F4489EC" w14:textId="77777777" w:rsidR="00A97A17" w:rsidRDefault="00A97A17" w:rsidP="00A97A17">
      <w:pPr>
        <w:rPr>
          <w:sz w:val="28"/>
          <w:szCs w:val="28"/>
        </w:rPr>
      </w:pPr>
    </w:p>
    <w:p w14:paraId="736BE86A" w14:textId="77777777" w:rsidR="00A97A17" w:rsidRDefault="00A97A17" w:rsidP="00A97A17">
      <w:pPr>
        <w:rPr>
          <w:sz w:val="28"/>
          <w:szCs w:val="28"/>
        </w:rPr>
      </w:pPr>
      <w:r>
        <w:rPr>
          <w:sz w:val="28"/>
          <w:szCs w:val="28"/>
        </w:rPr>
        <w:t xml:space="preserve">Jerusalem, whose name means city of peace, has rarely been that.  The many religions, sacred spaces, peoples, nationalities, and all their histories means that there have always been multiple claims on the city.  Accommodations have been just as many in efforts to forestall conflict.  A 1950 article advocating internationalization opens with: “The </w:t>
      </w:r>
      <w:r w:rsidRPr="00492B60">
        <w:rPr>
          <w:sz w:val="28"/>
          <w:szCs w:val="28"/>
        </w:rPr>
        <w:t xml:space="preserve">question of the Holy Places </w:t>
      </w:r>
      <w:r w:rsidRPr="007814B6">
        <w:rPr>
          <w:sz w:val="28"/>
          <w:szCs w:val="28"/>
        </w:rPr>
        <w:t>in</w:t>
      </w:r>
      <w:r w:rsidRPr="00492B60">
        <w:rPr>
          <w:b/>
          <w:sz w:val="28"/>
          <w:szCs w:val="28"/>
        </w:rPr>
        <w:t xml:space="preserve"> </w:t>
      </w:r>
      <w:r w:rsidRPr="00492B60">
        <w:rPr>
          <w:sz w:val="28"/>
          <w:szCs w:val="28"/>
        </w:rPr>
        <w:t>Palestine is one of the oldest problems that have arisen under international law. It is even older than our modern international</w:t>
      </w:r>
      <w:r>
        <w:rPr>
          <w:sz w:val="28"/>
          <w:szCs w:val="28"/>
        </w:rPr>
        <w:t xml:space="preserve"> </w:t>
      </w:r>
      <w:r w:rsidRPr="00492B60">
        <w:rPr>
          <w:sz w:val="28"/>
          <w:szCs w:val="28"/>
        </w:rPr>
        <w:t>law itsel</w:t>
      </w:r>
      <w:r>
        <w:rPr>
          <w:sz w:val="28"/>
          <w:szCs w:val="28"/>
        </w:rPr>
        <w:t>f…”</w:t>
      </w:r>
      <w:r>
        <w:rPr>
          <w:rStyle w:val="EndnoteReference"/>
          <w:sz w:val="28"/>
          <w:szCs w:val="28"/>
        </w:rPr>
        <w:endnoteReference w:id="1"/>
      </w:r>
      <w:r>
        <w:rPr>
          <w:sz w:val="28"/>
          <w:szCs w:val="28"/>
        </w:rPr>
        <w:t xml:space="preserve">  The article continues with a long history of the interested parties, their attachments, and their attempts to take control of the city from each other.  Each compromise was the result of at least some of the usual elements: negotiation, appeal, purchase, threat of force, and use of force.  Over time, compromises and concessions layered one atop the other.  Foreign states were allowed a stake in the city and its institutions.  By the end of the 19</w:t>
      </w:r>
      <w:r w:rsidRPr="00080C83">
        <w:rPr>
          <w:sz w:val="28"/>
          <w:szCs w:val="28"/>
          <w:vertAlign w:val="superscript"/>
        </w:rPr>
        <w:t>th</w:t>
      </w:r>
      <w:r>
        <w:rPr>
          <w:sz w:val="28"/>
          <w:szCs w:val="28"/>
        </w:rPr>
        <w:t xml:space="preserve"> century, the city had a far more international population, institutions and protections for them than any other poor, medium-sized Middle Eastern backwater.</w:t>
      </w:r>
    </w:p>
    <w:p w14:paraId="0DC027DE" w14:textId="77777777" w:rsidR="00A97A17" w:rsidRDefault="00A97A17" w:rsidP="00A97A17">
      <w:pPr>
        <w:rPr>
          <w:sz w:val="28"/>
          <w:szCs w:val="28"/>
        </w:rPr>
      </w:pPr>
    </w:p>
    <w:p w14:paraId="1FC61EC8" w14:textId="77777777" w:rsidR="00A97A17" w:rsidRDefault="00A97A17" w:rsidP="00A97A17">
      <w:pPr>
        <w:rPr>
          <w:sz w:val="28"/>
          <w:szCs w:val="28"/>
        </w:rPr>
      </w:pPr>
      <w:r>
        <w:rPr>
          <w:sz w:val="28"/>
          <w:szCs w:val="28"/>
        </w:rPr>
        <w:t>While Jerusalem had this international character for centuries, pressures to extend this status became stronger in the late 19</w:t>
      </w:r>
      <w:r w:rsidRPr="00013AD9">
        <w:rPr>
          <w:sz w:val="28"/>
          <w:szCs w:val="28"/>
          <w:vertAlign w:val="superscript"/>
        </w:rPr>
        <w:t>th</w:t>
      </w:r>
      <w:r>
        <w:rPr>
          <w:sz w:val="28"/>
          <w:szCs w:val="28"/>
        </w:rPr>
        <w:t xml:space="preserve"> century, as the Ottoman Empire weakened.  With the collapse of the Ottoman, German and Austro-Hungarian Empires at the end of WWI, the victors used various internationalized statuses to get agreements that would end the war.  The Paris Peace treaties and the League of Nations (LN) pioneered tools which created novel solutions.  Not just Jerusalem, but now all of Palestine fell into this sphere as the LN granted the United Kingdom the mandate over that province.  Experiments were conducted in Europe as well: the Saar, Memel, and Danzig were all accorded varieties of international control and oversight.  The experiences in these places could have provided evidence about the usefulness of these tools.  This paper will look at those experiences, what was learned from them at the time and how that knowledge was used when designing international control over Jerusalem.  </w:t>
      </w:r>
    </w:p>
    <w:p w14:paraId="0E979BCD" w14:textId="77777777" w:rsidR="00A97A17" w:rsidRDefault="00A97A17" w:rsidP="00A97A17">
      <w:pPr>
        <w:rPr>
          <w:sz w:val="28"/>
          <w:szCs w:val="28"/>
        </w:rPr>
      </w:pPr>
    </w:p>
    <w:p w14:paraId="6940C357" w14:textId="77777777" w:rsidR="00A97A17" w:rsidRDefault="00A97A17" w:rsidP="00A97A17">
      <w:pPr>
        <w:rPr>
          <w:sz w:val="28"/>
          <w:szCs w:val="28"/>
        </w:rPr>
      </w:pPr>
      <w:r>
        <w:rPr>
          <w:sz w:val="28"/>
          <w:szCs w:val="28"/>
        </w:rPr>
        <w:lastRenderedPageBreak/>
        <w:t>The key feature of all the various experiments is that sovereignty was weakened.  After WWI, the idea that weaker state control and independent power would lead to a calmer world was popular.  This paper will not address the problems of anomalies in sovereignty, of which internationalized cities are just one example.  A separate paper, available from this author does cover that topic,</w:t>
      </w:r>
      <w:r>
        <w:rPr>
          <w:rStyle w:val="EndnoteReference"/>
          <w:sz w:val="28"/>
          <w:szCs w:val="28"/>
        </w:rPr>
        <w:endnoteReference w:id="2"/>
      </w:r>
      <w:r>
        <w:rPr>
          <w:sz w:val="28"/>
          <w:szCs w:val="28"/>
        </w:rPr>
        <w:t xml:space="preserve"> and this paper ought to be read in light of that material.  </w:t>
      </w:r>
    </w:p>
    <w:p w14:paraId="7492BF76" w14:textId="77777777" w:rsidR="00A97A17" w:rsidRDefault="00A97A17" w:rsidP="00A97A17">
      <w:pPr>
        <w:rPr>
          <w:sz w:val="28"/>
          <w:szCs w:val="28"/>
        </w:rPr>
      </w:pPr>
    </w:p>
    <w:p w14:paraId="3CC8106C" w14:textId="77777777" w:rsidR="00A97A17" w:rsidRDefault="00A97A17" w:rsidP="00A97A17">
      <w:pPr>
        <w:rPr>
          <w:sz w:val="28"/>
          <w:szCs w:val="28"/>
        </w:rPr>
      </w:pPr>
      <w:r>
        <w:rPr>
          <w:sz w:val="28"/>
          <w:szCs w:val="28"/>
        </w:rPr>
        <w:t>By the 1930s, with nationalism rising across Europe and conflict looming, political scientists engaged in critical reexaminations of the Paris treaties and questioned their success.</w:t>
      </w:r>
      <w:r>
        <w:rPr>
          <w:rStyle w:val="EndnoteReference"/>
          <w:sz w:val="28"/>
          <w:szCs w:val="28"/>
        </w:rPr>
        <w:endnoteReference w:id="3"/>
      </w:r>
      <w:r>
        <w:rPr>
          <w:sz w:val="28"/>
          <w:szCs w:val="28"/>
        </w:rPr>
        <w:t xml:space="preserve">  After WWII, it was clear that much of it was a great failure if measured by how well it kept the peace.  H. Duncan Hall, an Australian academic who had worked for the League of Nations Secretariat, created a general taxonomy and theory of infringements and anomalies in sovereignty in 1948.</w:t>
      </w:r>
      <w:r>
        <w:rPr>
          <w:rStyle w:val="EndnoteReference"/>
          <w:sz w:val="28"/>
          <w:szCs w:val="28"/>
        </w:rPr>
        <w:endnoteReference w:id="4"/>
      </w:r>
      <w:r>
        <w:rPr>
          <w:sz w:val="28"/>
          <w:szCs w:val="28"/>
        </w:rPr>
        <w:t xml:space="preserve">  All, like the various agreements about Jerusalem, included some control by an outside power of space nominally controlled by another state.  His list of infringements is long,</w:t>
      </w:r>
      <w:r>
        <w:rPr>
          <w:rStyle w:val="EndnoteReference"/>
          <w:sz w:val="28"/>
          <w:szCs w:val="28"/>
        </w:rPr>
        <w:endnoteReference w:id="5"/>
      </w:r>
      <w:r>
        <w:rPr>
          <w:sz w:val="28"/>
          <w:szCs w:val="28"/>
        </w:rPr>
        <w:t xml:space="preserve"> but all of them are expressions of power politics: these are compromises made where powerful states are potentially in conflict and can force a weaker state to agree to an infringement in order to minimize the chances of conflict.</w:t>
      </w:r>
      <w:r>
        <w:rPr>
          <w:rStyle w:val="EndnoteReference"/>
          <w:sz w:val="28"/>
          <w:szCs w:val="28"/>
        </w:rPr>
        <w:endnoteReference w:id="6"/>
      </w:r>
      <w:r>
        <w:rPr>
          <w:sz w:val="28"/>
          <w:szCs w:val="28"/>
        </w:rPr>
        <w:t xml:space="preserve"> </w:t>
      </w:r>
    </w:p>
    <w:p w14:paraId="622AD121" w14:textId="77777777" w:rsidR="00A97A17" w:rsidRDefault="00A97A17" w:rsidP="00A97A17">
      <w:pPr>
        <w:rPr>
          <w:sz w:val="28"/>
          <w:szCs w:val="28"/>
        </w:rPr>
      </w:pPr>
    </w:p>
    <w:p w14:paraId="1FA5CD49" w14:textId="77777777" w:rsidR="00A97A17" w:rsidRDefault="00A97A17" w:rsidP="00A97A17">
      <w:pPr>
        <w:rPr>
          <w:sz w:val="28"/>
          <w:szCs w:val="28"/>
        </w:rPr>
      </w:pPr>
      <w:r>
        <w:rPr>
          <w:sz w:val="28"/>
          <w:szCs w:val="28"/>
        </w:rPr>
        <w:t xml:space="preserve">The compromises of the Paris treaties were reached by a similar dynamic: the French, on the basis of countless prior European wars, demanded spoils of war by annexation with full, unambiguous sovereignty.  The US and UK, wary of the possible causal link between those punishing treaties and the inevitable next war, sought to break the chain by refusing annexation.  In the minority, the French acquiesced, accepting various semi-sovereign solutions in some of the areas ceded by the defeated powers.  This led to the creation of mandates, internationalized cities and other novel solutions.  Of course, the US and UK weren’t on the Continent, and didn’t see their primary interests on the Continent, so they could live with the ambiguities.  The French, however, knew that they would always have Germany for a neighbor, and wanted it weakened over the long term, which permanently ceding territory might have done. </w:t>
      </w:r>
    </w:p>
    <w:p w14:paraId="36C12B62" w14:textId="77777777" w:rsidR="00A97A17" w:rsidRDefault="00A97A17" w:rsidP="00A97A17">
      <w:pPr>
        <w:rPr>
          <w:sz w:val="28"/>
          <w:szCs w:val="28"/>
        </w:rPr>
      </w:pPr>
    </w:p>
    <w:p w14:paraId="2BAA1B7B" w14:textId="77777777" w:rsidR="00A97A17" w:rsidRDefault="00A97A17" w:rsidP="00A97A17">
      <w:pPr>
        <w:rPr>
          <w:sz w:val="28"/>
          <w:szCs w:val="28"/>
        </w:rPr>
      </w:pPr>
      <w:r>
        <w:rPr>
          <w:sz w:val="28"/>
          <w:szCs w:val="28"/>
        </w:rPr>
        <w:t xml:space="preserve">  By the time WWII broke out, international oversight and limited sovereignty had almost 20 years of experience; by the time of the UN discussions about Jerusalem, there was almost 30 years and it was possible to draw some conclusions.  Were these workable solutions, and did they contribute to peaceable conditions?</w:t>
      </w:r>
      <w:r>
        <w:rPr>
          <w:rStyle w:val="EndnoteReference"/>
          <w:sz w:val="28"/>
          <w:szCs w:val="28"/>
        </w:rPr>
        <w:endnoteReference w:id="7"/>
      </w:r>
      <w:r>
        <w:rPr>
          <w:sz w:val="28"/>
          <w:szCs w:val="28"/>
        </w:rPr>
        <w:t xml:space="preserve">  Answering these questions should have given the diplomats negotiating </w:t>
      </w:r>
      <w:r>
        <w:rPr>
          <w:sz w:val="28"/>
          <w:szCs w:val="28"/>
        </w:rPr>
        <w:lastRenderedPageBreak/>
        <w:t xml:space="preserve">Jerusalem’s fate some indication of the possibilities of success with the solutions they were considering.  The solution they settled on was to make the city an internationalized </w:t>
      </w:r>
      <w:r>
        <w:rPr>
          <w:i/>
          <w:sz w:val="28"/>
          <w:szCs w:val="28"/>
        </w:rPr>
        <w:t xml:space="preserve">corpus </w:t>
      </w:r>
      <w:proofErr w:type="spellStart"/>
      <w:r>
        <w:rPr>
          <w:i/>
          <w:sz w:val="28"/>
          <w:szCs w:val="28"/>
        </w:rPr>
        <w:t>seperatum</w:t>
      </w:r>
      <w:proofErr w:type="spellEnd"/>
      <w:r>
        <w:rPr>
          <w:i/>
          <w:sz w:val="28"/>
          <w:szCs w:val="28"/>
        </w:rPr>
        <w:t xml:space="preserve">, </w:t>
      </w:r>
      <w:r>
        <w:rPr>
          <w:sz w:val="28"/>
          <w:szCs w:val="28"/>
        </w:rPr>
        <w:t xml:space="preserve">a separate body. Yet none of the earlier attempts at internationalization was a success, all of them generated conflict, and their ambiguities and the possibilities for change were motivations to continue and intensify those conflicts.  Further, the international community added another destabilizing element to its plans for Jerusalem: demilitarization.  This would have exacerbated a difficult situation.  All of this was entirely predictable from the various precedents available at the time.  While none of the plans came to fruition, the international community was clear: they were choosing to create and prolong conflict there and had good reason to know that. </w:t>
      </w:r>
    </w:p>
    <w:p w14:paraId="37ECFF19" w14:textId="77777777" w:rsidR="00A97A17" w:rsidRDefault="00A97A17" w:rsidP="00A97A17">
      <w:pPr>
        <w:rPr>
          <w:sz w:val="28"/>
          <w:szCs w:val="28"/>
        </w:rPr>
      </w:pPr>
    </w:p>
    <w:p w14:paraId="1A032B84" w14:textId="77777777" w:rsidR="00A97A17" w:rsidRDefault="00A97A17" w:rsidP="00A97A17">
      <w:pPr>
        <w:rPr>
          <w:b/>
          <w:sz w:val="28"/>
          <w:szCs w:val="28"/>
        </w:rPr>
      </w:pPr>
      <w:r>
        <w:rPr>
          <w:b/>
          <w:sz w:val="28"/>
          <w:szCs w:val="28"/>
        </w:rPr>
        <w:t>Precedents for Internationalized Cities and Areas under the League of Nations</w:t>
      </w:r>
    </w:p>
    <w:p w14:paraId="06A91ABB" w14:textId="77777777" w:rsidR="00A97A17" w:rsidRDefault="00A97A17" w:rsidP="00A97A17">
      <w:pPr>
        <w:rPr>
          <w:sz w:val="28"/>
          <w:szCs w:val="28"/>
        </w:rPr>
      </w:pPr>
    </w:p>
    <w:p w14:paraId="20733F1E" w14:textId="77777777" w:rsidR="00A97A17" w:rsidRDefault="00A97A17" w:rsidP="00A97A17">
      <w:pPr>
        <w:rPr>
          <w:sz w:val="28"/>
          <w:szCs w:val="28"/>
        </w:rPr>
      </w:pPr>
      <w:r>
        <w:rPr>
          <w:sz w:val="28"/>
          <w:szCs w:val="28"/>
        </w:rPr>
        <w:t>The Paris treaties put three European areas under some form of international control: the Saar, Memel and Danzig.  All of them had some economic justification; the Saar was transferred to French rule for fifteen years so that they could exploit the coal mines there; Memel was Lithuania’s access to the sea, and Danzig was likewise a port to give Poland access to the sea.  All had been part of Germany and their populations remained largely German.  In an era of rising nationalism, all placed ethnic Germans into foreign nation-states.  The manner of international oversight and involvement was different in each, but all remained contentious and in turmoil throughout their existence.</w:t>
      </w:r>
    </w:p>
    <w:p w14:paraId="00492ACF" w14:textId="77777777" w:rsidR="00A97A17" w:rsidRDefault="00A97A17" w:rsidP="00A97A17">
      <w:pPr>
        <w:rPr>
          <w:sz w:val="28"/>
          <w:szCs w:val="28"/>
        </w:rPr>
      </w:pPr>
    </w:p>
    <w:p w14:paraId="11FBF090" w14:textId="77777777" w:rsidR="00A97A17" w:rsidRDefault="00A97A17" w:rsidP="00A97A17">
      <w:pPr>
        <w:rPr>
          <w:sz w:val="28"/>
          <w:szCs w:val="28"/>
        </w:rPr>
      </w:pPr>
      <w:r>
        <w:rPr>
          <w:b/>
          <w:sz w:val="28"/>
          <w:szCs w:val="28"/>
        </w:rPr>
        <w:t>The Saar</w:t>
      </w:r>
      <w:r>
        <w:rPr>
          <w:sz w:val="28"/>
          <w:szCs w:val="28"/>
        </w:rPr>
        <w:t xml:space="preserve"> </w:t>
      </w:r>
    </w:p>
    <w:p w14:paraId="094881FC" w14:textId="77777777" w:rsidR="00A97A17" w:rsidRDefault="00A97A17" w:rsidP="00A97A17">
      <w:pPr>
        <w:rPr>
          <w:sz w:val="28"/>
          <w:szCs w:val="28"/>
        </w:rPr>
      </w:pPr>
    </w:p>
    <w:p w14:paraId="3DAF4ED6" w14:textId="77777777" w:rsidR="00A97A17" w:rsidRDefault="00A97A17" w:rsidP="00A97A17">
      <w:pPr>
        <w:rPr>
          <w:sz w:val="28"/>
          <w:szCs w:val="28"/>
        </w:rPr>
      </w:pPr>
      <w:r>
        <w:rPr>
          <w:sz w:val="28"/>
          <w:szCs w:val="28"/>
        </w:rPr>
        <w:t>The Saar, a small territory in the west of Germany, was the least internationalized of these three, but also the only one directly governed by the League.</w:t>
      </w:r>
      <w:r>
        <w:rPr>
          <w:rStyle w:val="EndnoteReference"/>
          <w:sz w:val="28"/>
          <w:szCs w:val="28"/>
        </w:rPr>
        <w:endnoteReference w:id="8"/>
      </w:r>
      <w:r>
        <w:rPr>
          <w:sz w:val="28"/>
          <w:szCs w:val="28"/>
        </w:rPr>
        <w:t xml:space="preserve">  The French had asked for sovereignty over it at the end of the war and were refused.  Changing their approach, they asked that it be given to them for 15 years to use the coal mines there, as the retreating German army had wrecked some French mines.  Thus, the usual approach to this issue is that it was based on economic considerations.  This wasn’t the case at the start, but that is the justification that was agreed to.  The area was overwhelmingly German,</w:t>
      </w:r>
      <w:r>
        <w:rPr>
          <w:rStyle w:val="EndnoteReference"/>
          <w:sz w:val="28"/>
          <w:szCs w:val="28"/>
        </w:rPr>
        <w:endnoteReference w:id="9"/>
      </w:r>
      <w:r>
        <w:rPr>
          <w:sz w:val="28"/>
          <w:szCs w:val="28"/>
        </w:rPr>
        <w:t xml:space="preserve"> and the coal deposits were well-integrated with the steel mills of Alsace-Lorrain, a province that was returning to France.  Foreign and economic policy were given to France, along with most domestic functions.  On top of that, there was an international </w:t>
      </w:r>
      <w:r>
        <w:rPr>
          <w:sz w:val="28"/>
          <w:szCs w:val="28"/>
        </w:rPr>
        <w:lastRenderedPageBreak/>
        <w:t>governing commission, appointed by the LN, and safeguards were provided for what was now a minority population under French rule.</w:t>
      </w:r>
      <w:r>
        <w:rPr>
          <w:rStyle w:val="EndnoteReference"/>
          <w:sz w:val="28"/>
          <w:szCs w:val="28"/>
        </w:rPr>
        <w:endnoteReference w:id="10"/>
      </w:r>
      <w:r>
        <w:rPr>
          <w:sz w:val="28"/>
          <w:szCs w:val="28"/>
        </w:rPr>
        <w:t xml:space="preserve">  While the commission provided final authority, the vast majority of bureaucrats and management remained in their jobs, and this was doubtless a source of stability</w:t>
      </w:r>
      <w:r>
        <w:rPr>
          <w:rStyle w:val="EndnoteReference"/>
          <w:sz w:val="28"/>
          <w:szCs w:val="28"/>
        </w:rPr>
        <w:endnoteReference w:id="11"/>
      </w:r>
      <w:r>
        <w:rPr>
          <w:sz w:val="28"/>
          <w:szCs w:val="28"/>
        </w:rPr>
        <w:t xml:space="preserve"> and lessened the blow of the transfer to France.  The LN officials who were brought in to run the administration were mainly </w:t>
      </w:r>
      <w:proofErr w:type="gramStart"/>
      <w:r>
        <w:rPr>
          <w:sz w:val="28"/>
          <w:szCs w:val="28"/>
        </w:rPr>
        <w:t>German-speakers</w:t>
      </w:r>
      <w:proofErr w:type="gramEnd"/>
      <w:r>
        <w:rPr>
          <w:sz w:val="28"/>
          <w:szCs w:val="28"/>
        </w:rPr>
        <w:t xml:space="preserve">.  </w:t>
      </w:r>
    </w:p>
    <w:p w14:paraId="09702CD0" w14:textId="77777777" w:rsidR="00A97A17" w:rsidRDefault="00A97A17" w:rsidP="00A97A17">
      <w:pPr>
        <w:rPr>
          <w:sz w:val="28"/>
          <w:szCs w:val="28"/>
        </w:rPr>
      </w:pPr>
    </w:p>
    <w:p w14:paraId="2F73CEAD" w14:textId="77777777" w:rsidR="00A97A17" w:rsidRPr="0025692B" w:rsidRDefault="00A97A17" w:rsidP="00A97A17">
      <w:pPr>
        <w:rPr>
          <w:sz w:val="28"/>
          <w:szCs w:val="28"/>
        </w:rPr>
      </w:pPr>
      <w:r>
        <w:rPr>
          <w:sz w:val="28"/>
          <w:szCs w:val="28"/>
        </w:rPr>
        <w:t xml:space="preserve">While these efforts might have lessened the conflict, </w:t>
      </w:r>
      <w:proofErr w:type="spellStart"/>
      <w:r>
        <w:rPr>
          <w:sz w:val="28"/>
          <w:szCs w:val="28"/>
        </w:rPr>
        <w:t>Wambaugh</w:t>
      </w:r>
      <w:proofErr w:type="spellEnd"/>
      <w:r>
        <w:rPr>
          <w:sz w:val="28"/>
          <w:szCs w:val="28"/>
        </w:rPr>
        <w:t xml:space="preserve"> is clear that friction was constant.  She opens her judgments with “</w:t>
      </w:r>
      <w:r w:rsidRPr="006B69EF">
        <w:rPr>
          <w:sz w:val="28"/>
          <w:szCs w:val="28"/>
        </w:rPr>
        <w:t>To say that the Governing Commission achieved a great success in its administration is not to say that it ever became popular.</w:t>
      </w:r>
      <w:r>
        <w:rPr>
          <w:sz w:val="28"/>
          <w:szCs w:val="28"/>
        </w:rPr>
        <w:t>”</w:t>
      </w:r>
      <w:r>
        <w:rPr>
          <w:rStyle w:val="EndnoteReference"/>
          <w:sz w:val="28"/>
          <w:szCs w:val="28"/>
        </w:rPr>
        <w:endnoteReference w:id="12"/>
      </w:r>
      <w:r>
        <w:rPr>
          <w:sz w:val="28"/>
          <w:szCs w:val="28"/>
        </w:rPr>
        <w:t xml:space="preserve">  Opposition was strong from the start, and while rooted in the population, it was “…</w:t>
      </w:r>
      <w:r w:rsidRPr="001F7601">
        <w:rPr>
          <w:sz w:val="28"/>
          <w:szCs w:val="28"/>
        </w:rPr>
        <w:t>aided by large subsidies from B</w:t>
      </w:r>
      <w:r>
        <w:rPr>
          <w:sz w:val="28"/>
          <w:szCs w:val="28"/>
        </w:rPr>
        <w:t>erlin,</w:t>
      </w:r>
      <w:r w:rsidRPr="001F7601">
        <w:rPr>
          <w:sz w:val="28"/>
          <w:szCs w:val="28"/>
        </w:rPr>
        <w:t xml:space="preserve"> in order to oppose the new regime in every way and to show that the Treaty provisions were unworkable.</w:t>
      </w:r>
      <w:r>
        <w:rPr>
          <w:sz w:val="28"/>
          <w:szCs w:val="28"/>
        </w:rPr>
        <w:t>”</w:t>
      </w:r>
      <w:r>
        <w:rPr>
          <w:rStyle w:val="EndnoteReference"/>
          <w:sz w:val="28"/>
          <w:szCs w:val="28"/>
        </w:rPr>
        <w:endnoteReference w:id="13"/>
      </w:r>
      <w:r>
        <w:rPr>
          <w:sz w:val="28"/>
          <w:szCs w:val="28"/>
        </w:rPr>
        <w:t xml:space="preserve">  The agreed upon future plebiscite only exacerbated the conflict, and </w:t>
      </w:r>
      <w:proofErr w:type="spellStart"/>
      <w:r>
        <w:rPr>
          <w:sz w:val="28"/>
          <w:szCs w:val="28"/>
        </w:rPr>
        <w:t>Wambaugh</w:t>
      </w:r>
      <w:proofErr w:type="spellEnd"/>
      <w:r>
        <w:rPr>
          <w:sz w:val="28"/>
          <w:szCs w:val="28"/>
        </w:rPr>
        <w:t xml:space="preserve"> is certain that it hamstrung the administration: “</w:t>
      </w:r>
      <w:r w:rsidRPr="00D31F91">
        <w:rPr>
          <w:sz w:val="28"/>
          <w:szCs w:val="28"/>
        </w:rPr>
        <w:t>From the beginning the certainty of a plebiscite at the end of fifteen years placed the League experiment  in  international  administration under a great</w:t>
      </w:r>
      <w:r>
        <w:rPr>
          <w:sz w:val="28"/>
          <w:szCs w:val="28"/>
        </w:rPr>
        <w:t xml:space="preserve"> handicap. </w:t>
      </w:r>
      <w:r w:rsidRPr="00D31F91">
        <w:rPr>
          <w:sz w:val="28"/>
          <w:szCs w:val="28"/>
        </w:rPr>
        <w:t xml:space="preserve"> Every question, even those primarily economic or social, was t</w:t>
      </w:r>
      <w:r>
        <w:rPr>
          <w:sz w:val="28"/>
          <w:szCs w:val="28"/>
        </w:rPr>
        <w:t>hus t</w:t>
      </w:r>
      <w:r w:rsidRPr="00D31F91">
        <w:rPr>
          <w:sz w:val="28"/>
          <w:szCs w:val="28"/>
        </w:rPr>
        <w:t>urned into a political</w:t>
      </w:r>
      <w:r>
        <w:rPr>
          <w:sz w:val="28"/>
          <w:szCs w:val="28"/>
        </w:rPr>
        <w:t xml:space="preserve"> question.”</w:t>
      </w:r>
      <w:r>
        <w:rPr>
          <w:rStyle w:val="EndnoteReference"/>
          <w:sz w:val="28"/>
          <w:szCs w:val="28"/>
        </w:rPr>
        <w:endnoteReference w:id="14"/>
      </w:r>
      <w:r>
        <w:rPr>
          <w:sz w:val="28"/>
          <w:szCs w:val="28"/>
        </w:rPr>
        <w:t xml:space="preserve">   The population appealed to Geneva, seat of the LN, whenever they could; agitation was constant.  When the promised plebiscite came after 15 years, the vast majority of Saarlanders voted for reunification with Germany and that was done.  </w:t>
      </w:r>
      <w:proofErr w:type="spellStart"/>
      <w:r w:rsidRPr="0025692B">
        <w:rPr>
          <w:sz w:val="28"/>
          <w:szCs w:val="28"/>
        </w:rPr>
        <w:t>Florinsky</w:t>
      </w:r>
      <w:proofErr w:type="spellEnd"/>
      <w:r>
        <w:rPr>
          <w:sz w:val="28"/>
          <w:szCs w:val="28"/>
        </w:rPr>
        <w:t xml:space="preserve"> writes this about the cause of the trouble:</w:t>
      </w:r>
      <w:r w:rsidRPr="0025692B">
        <w:rPr>
          <w:sz w:val="28"/>
          <w:szCs w:val="28"/>
        </w:rPr>
        <w:t xml:space="preserve"> “Such an arrangement would mean a further extension of</w:t>
      </w:r>
      <w:r w:rsidRPr="0025692B">
        <w:rPr>
          <w:i/>
          <w:sz w:val="28"/>
          <w:szCs w:val="28"/>
        </w:rPr>
        <w:t xml:space="preserve"> </w:t>
      </w:r>
      <w:r w:rsidRPr="0025692B">
        <w:rPr>
          <w:sz w:val="28"/>
          <w:szCs w:val="28"/>
        </w:rPr>
        <w:t>that uncertainty which everyone, beginning with the Governing Commission itself, denounces as the chief evil that has overshadowed the whole life of the Territory.”</w:t>
      </w:r>
      <w:r>
        <w:rPr>
          <w:rStyle w:val="EndnoteReference"/>
          <w:sz w:val="28"/>
          <w:szCs w:val="28"/>
        </w:rPr>
        <w:endnoteReference w:id="15"/>
      </w:r>
    </w:p>
    <w:p w14:paraId="08CC95A6" w14:textId="77777777" w:rsidR="00A97A17" w:rsidRDefault="00A97A17" w:rsidP="00A97A17">
      <w:pPr>
        <w:rPr>
          <w:sz w:val="28"/>
          <w:szCs w:val="28"/>
        </w:rPr>
      </w:pPr>
    </w:p>
    <w:p w14:paraId="2B95A9C4" w14:textId="77777777" w:rsidR="00A97A17" w:rsidRDefault="00A97A17" w:rsidP="00A97A17">
      <w:pPr>
        <w:rPr>
          <w:sz w:val="28"/>
          <w:szCs w:val="28"/>
        </w:rPr>
      </w:pPr>
      <w:r>
        <w:rPr>
          <w:sz w:val="28"/>
          <w:szCs w:val="28"/>
        </w:rPr>
        <w:t>The Saar was an attempt at a limited term occupation; France had most of the power</w:t>
      </w:r>
      <w:r>
        <w:rPr>
          <w:rStyle w:val="EndnoteReference"/>
          <w:sz w:val="28"/>
          <w:szCs w:val="28"/>
        </w:rPr>
        <w:endnoteReference w:id="16"/>
      </w:r>
      <w:r>
        <w:rPr>
          <w:sz w:val="28"/>
          <w:szCs w:val="28"/>
        </w:rPr>
        <w:t xml:space="preserve"> and made most of the decisions, but there was a layer of international oversight in the area</w:t>
      </w:r>
      <w:r>
        <w:rPr>
          <w:rStyle w:val="EndnoteReference"/>
          <w:sz w:val="28"/>
          <w:szCs w:val="28"/>
        </w:rPr>
        <w:endnoteReference w:id="17"/>
      </w:r>
      <w:r>
        <w:rPr>
          <w:sz w:val="28"/>
          <w:szCs w:val="28"/>
        </w:rPr>
        <w:t xml:space="preserve"> to ensure the rights of the population.  It never gained the support of that population, who resented it and fought it at every step, reversing it when they had the chance.  Nationality was more important to the people than economics,</w:t>
      </w:r>
      <w:r>
        <w:rPr>
          <w:rStyle w:val="EndnoteReference"/>
          <w:sz w:val="28"/>
          <w:szCs w:val="28"/>
        </w:rPr>
        <w:endnoteReference w:id="18"/>
      </w:r>
      <w:r>
        <w:rPr>
          <w:sz w:val="28"/>
          <w:szCs w:val="28"/>
        </w:rPr>
        <w:t xml:space="preserve"> which should be no surprise in the inter-war years.</w:t>
      </w:r>
    </w:p>
    <w:p w14:paraId="279EA157" w14:textId="77777777" w:rsidR="00A97A17" w:rsidRDefault="00A97A17" w:rsidP="00A97A17">
      <w:pPr>
        <w:rPr>
          <w:sz w:val="28"/>
          <w:szCs w:val="28"/>
        </w:rPr>
      </w:pPr>
    </w:p>
    <w:p w14:paraId="0BA057FB" w14:textId="77777777" w:rsidR="00A97A17" w:rsidRPr="006F410D" w:rsidRDefault="00A97A17" w:rsidP="00A97A17">
      <w:pPr>
        <w:rPr>
          <w:b/>
          <w:sz w:val="28"/>
          <w:szCs w:val="28"/>
        </w:rPr>
      </w:pPr>
      <w:r>
        <w:rPr>
          <w:b/>
          <w:sz w:val="28"/>
          <w:szCs w:val="28"/>
        </w:rPr>
        <w:t>Memel</w:t>
      </w:r>
    </w:p>
    <w:p w14:paraId="215BF5B4" w14:textId="77777777" w:rsidR="00A97A17" w:rsidRDefault="00A97A17" w:rsidP="00A97A17">
      <w:pPr>
        <w:rPr>
          <w:sz w:val="28"/>
          <w:szCs w:val="28"/>
        </w:rPr>
      </w:pPr>
    </w:p>
    <w:p w14:paraId="5FEDB2BC" w14:textId="77777777" w:rsidR="00A97A17" w:rsidRDefault="00A97A17" w:rsidP="00A97A17">
      <w:pPr>
        <w:rPr>
          <w:sz w:val="28"/>
          <w:szCs w:val="28"/>
        </w:rPr>
      </w:pPr>
      <w:r>
        <w:rPr>
          <w:sz w:val="28"/>
          <w:szCs w:val="28"/>
        </w:rPr>
        <w:t>The area of Memel, in the far north-eastern corner of pre-WWI Germany, provided another experiment in oversight by the international community.</w:t>
      </w:r>
      <w:r>
        <w:rPr>
          <w:rStyle w:val="EndnoteReference"/>
          <w:sz w:val="28"/>
          <w:szCs w:val="28"/>
        </w:rPr>
        <w:endnoteReference w:id="19"/>
      </w:r>
      <w:r>
        <w:rPr>
          <w:sz w:val="28"/>
          <w:szCs w:val="28"/>
        </w:rPr>
        <w:t xml:space="preserve">  This </w:t>
      </w:r>
      <w:r>
        <w:rPr>
          <w:sz w:val="28"/>
          <w:szCs w:val="28"/>
        </w:rPr>
        <w:lastRenderedPageBreak/>
        <w:t>was a coastal area on the Baltic, with a port city and surrounding farmland.  Most of the inhabitants of the city were German; many of the rural people were Lithuanian.</w:t>
      </w:r>
      <w:r>
        <w:rPr>
          <w:rStyle w:val="EndnoteReference"/>
          <w:sz w:val="28"/>
          <w:szCs w:val="28"/>
        </w:rPr>
        <w:endnoteReference w:id="20"/>
      </w:r>
      <w:r>
        <w:rPr>
          <w:sz w:val="28"/>
          <w:szCs w:val="28"/>
        </w:rPr>
        <w:t xml:space="preserve">  The collapse of the Russian Empire during WWI allowed for the emergence of an independent Lithuania, and it needed an outlet to the sea; Memel was the choice.  At the end of the war, the Allies took control of the area in order to figure out what to do with it.  The Russian Revolution and the various regional conflicts associated with it created chaos all over Eastern Europe, so French soldiers were posted to support inter-Allied rule there.  They wanted to help the new Lithuanian state and give it a port, but, in typical fashion, were unwilling to give it the unambiguous sovereignty that it demanded over the area.  Polish seizure of Vilna from Lithuania in 1920 added to the Lithuanian grievances and sense that they were an ill-defined state.</w:t>
      </w:r>
      <w:r>
        <w:rPr>
          <w:rStyle w:val="EndnoteReference"/>
          <w:sz w:val="28"/>
          <w:szCs w:val="28"/>
        </w:rPr>
        <w:endnoteReference w:id="21"/>
      </w:r>
      <w:r>
        <w:rPr>
          <w:sz w:val="28"/>
          <w:szCs w:val="28"/>
        </w:rPr>
        <w:t xml:space="preserve">  The German population of the city demanded that it be declared an independent city-state, on the model of Danzig, as they thought that this would be the quickest way to return to Germany.</w:t>
      </w:r>
      <w:r>
        <w:rPr>
          <w:rStyle w:val="EndnoteReference"/>
          <w:sz w:val="28"/>
          <w:szCs w:val="28"/>
        </w:rPr>
        <w:endnoteReference w:id="22"/>
      </w:r>
      <w:r>
        <w:rPr>
          <w:sz w:val="28"/>
          <w:szCs w:val="28"/>
        </w:rPr>
        <w:t xml:space="preserve">  </w:t>
      </w:r>
    </w:p>
    <w:p w14:paraId="3CEEC6EA" w14:textId="77777777" w:rsidR="00A97A17" w:rsidRDefault="00A97A17" w:rsidP="00A97A17">
      <w:pPr>
        <w:rPr>
          <w:sz w:val="28"/>
          <w:szCs w:val="28"/>
        </w:rPr>
      </w:pPr>
    </w:p>
    <w:p w14:paraId="2F51D913" w14:textId="77777777" w:rsidR="00A97A17" w:rsidRPr="009F326D" w:rsidRDefault="00A97A17" w:rsidP="00A97A17">
      <w:pPr>
        <w:rPr>
          <w:sz w:val="28"/>
          <w:szCs w:val="28"/>
        </w:rPr>
      </w:pPr>
      <w:r>
        <w:rPr>
          <w:sz w:val="28"/>
          <w:szCs w:val="28"/>
        </w:rPr>
        <w:t xml:space="preserve">The period of Allied rule showed all the usual costs of ambiguity.  Dawson, as a good German nationalist, wants order and is most attuned to this problem: </w:t>
      </w:r>
      <w:r w:rsidRPr="00571189">
        <w:rPr>
          <w:sz w:val="28"/>
          <w:szCs w:val="28"/>
        </w:rPr>
        <w:t>"So long as the fate of the territory remained und</w:t>
      </w:r>
      <w:r>
        <w:rPr>
          <w:sz w:val="28"/>
          <w:szCs w:val="28"/>
        </w:rPr>
        <w:t>ecided t</w:t>
      </w:r>
      <w:r w:rsidRPr="00571189">
        <w:rPr>
          <w:sz w:val="28"/>
          <w:szCs w:val="28"/>
        </w:rPr>
        <w:t xml:space="preserve">he Fatherland League clung to the hope that the Supreme Council </w:t>
      </w:r>
      <w:r>
        <w:rPr>
          <w:sz w:val="28"/>
          <w:szCs w:val="28"/>
        </w:rPr>
        <w:t xml:space="preserve">[of the LN] </w:t>
      </w:r>
      <w:r w:rsidRPr="00571189">
        <w:rPr>
          <w:sz w:val="28"/>
          <w:szCs w:val="28"/>
        </w:rPr>
        <w:t xml:space="preserve">would convert it into a Free State on the new German democratic model, its independence to be guaranteed by the Great Powers.”  </w:t>
      </w:r>
      <w:r>
        <w:rPr>
          <w:sz w:val="28"/>
          <w:szCs w:val="28"/>
        </w:rPr>
        <w:t xml:space="preserve">He goes on to show how this unsettled nature motivated the other side to also step in to fill the vacuum: </w:t>
      </w:r>
      <w:r w:rsidRPr="009F326D">
        <w:rPr>
          <w:sz w:val="28"/>
          <w:szCs w:val="28"/>
        </w:rPr>
        <w:t>“The longer the future of the region remained uncertain, however, the greater became the impatience of the Lithuanian nationalists and the stronger their wish to expedite events in their own way.”</w:t>
      </w:r>
      <w:r>
        <w:rPr>
          <w:sz w:val="28"/>
          <w:szCs w:val="28"/>
        </w:rPr>
        <w:t xml:space="preserve">   Dean echoes the sentiment, as he starts his section with “</w:t>
      </w:r>
      <w:r w:rsidRPr="009F326D">
        <w:rPr>
          <w:sz w:val="28"/>
          <w:szCs w:val="28"/>
        </w:rPr>
        <w:t>The period of inter-Allied government was scarcely a happy one.</w:t>
      </w:r>
      <w:r>
        <w:rPr>
          <w:sz w:val="28"/>
          <w:szCs w:val="28"/>
        </w:rPr>
        <w:t>”</w:t>
      </w:r>
      <w:r w:rsidRPr="009F326D">
        <w:rPr>
          <w:rStyle w:val="EndnoteReference"/>
          <w:sz w:val="28"/>
          <w:szCs w:val="28"/>
        </w:rPr>
        <w:t xml:space="preserve"> </w:t>
      </w:r>
      <w:r>
        <w:rPr>
          <w:rStyle w:val="EndnoteReference"/>
          <w:sz w:val="28"/>
          <w:szCs w:val="28"/>
        </w:rPr>
        <w:endnoteReference w:id="23"/>
      </w:r>
    </w:p>
    <w:p w14:paraId="72016E1D" w14:textId="77777777" w:rsidR="00A97A17" w:rsidRDefault="00A97A17" w:rsidP="00A97A17">
      <w:pPr>
        <w:rPr>
          <w:sz w:val="28"/>
          <w:szCs w:val="28"/>
        </w:rPr>
      </w:pPr>
    </w:p>
    <w:p w14:paraId="3BEA41ED" w14:textId="77777777" w:rsidR="00A97A17" w:rsidRDefault="00A97A17" w:rsidP="00A97A17">
      <w:pPr>
        <w:rPr>
          <w:sz w:val="28"/>
          <w:szCs w:val="28"/>
        </w:rPr>
      </w:pPr>
      <w:r>
        <w:rPr>
          <w:sz w:val="28"/>
          <w:szCs w:val="28"/>
        </w:rPr>
        <w:t xml:space="preserve">This period of ambiguity came to an end when Lithuanian soldiers invaded in </w:t>
      </w:r>
      <w:proofErr w:type="gramStart"/>
      <w:r>
        <w:rPr>
          <w:sz w:val="28"/>
          <w:szCs w:val="28"/>
        </w:rPr>
        <w:t>January,</w:t>
      </w:r>
      <w:proofErr w:type="gramEnd"/>
      <w:r>
        <w:rPr>
          <w:sz w:val="28"/>
          <w:szCs w:val="28"/>
        </w:rPr>
        <w:t xml:space="preserve"> 1923, and the French soldiers surrendered and left.  The Lithuanians declared total union with Memel, which the Allies accepted but wanted to make conditional.  A LN committee wrote the compromises contained in the Statute of Memel, but the League wasn’t a signatory, the Allies and Lithuania were.  The Statute gave the area autonomy in government, economy and culture.  It gave sovereignty, complete with foreign relations, defense, customs and the harbor to Lithuania. The governmental structure was complex but most of the power was with the Lithuanian government.  The cultural guarantees were a lot like the other </w:t>
      </w:r>
      <w:r>
        <w:rPr>
          <w:sz w:val="28"/>
          <w:szCs w:val="28"/>
        </w:rPr>
        <w:lastRenderedPageBreak/>
        <w:t>minority rights clauses of the LN era; the economic clauses were mainly to protect free passage at the port.  Lithuania wasn’t fully sovereign over the territory, and the compromises allowed the contending parties, Lithuania and the Germans of the city of Memel (supported by the German government), to each claim priority in the province.</w:t>
      </w:r>
      <w:r>
        <w:rPr>
          <w:rStyle w:val="EndnoteReference"/>
          <w:sz w:val="28"/>
          <w:szCs w:val="28"/>
        </w:rPr>
        <w:endnoteReference w:id="24"/>
      </w:r>
    </w:p>
    <w:p w14:paraId="24EFF073" w14:textId="77777777" w:rsidR="00A97A17" w:rsidRDefault="00A97A17" w:rsidP="00A97A17">
      <w:pPr>
        <w:rPr>
          <w:sz w:val="28"/>
          <w:szCs w:val="28"/>
        </w:rPr>
      </w:pPr>
    </w:p>
    <w:p w14:paraId="23E82CF8" w14:textId="77777777" w:rsidR="00A97A17" w:rsidRDefault="00A97A17" w:rsidP="00A97A17">
      <w:pPr>
        <w:rPr>
          <w:sz w:val="28"/>
          <w:szCs w:val="28"/>
        </w:rPr>
      </w:pPr>
      <w:r>
        <w:rPr>
          <w:sz w:val="28"/>
          <w:szCs w:val="28"/>
        </w:rPr>
        <w:t xml:space="preserve">The signing of the Statute started the long years of conflict over what it might have meant, what it allowed for, and who was responsible for oversight.  </w:t>
      </w:r>
      <w:proofErr w:type="spellStart"/>
      <w:r>
        <w:rPr>
          <w:sz w:val="28"/>
          <w:szCs w:val="28"/>
        </w:rPr>
        <w:t>Kalijarvi</w:t>
      </w:r>
      <w:proofErr w:type="spellEnd"/>
      <w:r>
        <w:rPr>
          <w:sz w:val="28"/>
          <w:szCs w:val="28"/>
        </w:rPr>
        <w:t xml:space="preserve"> writes “</w:t>
      </w:r>
      <w:r w:rsidRPr="00F41291">
        <w:rPr>
          <w:sz w:val="28"/>
          <w:szCs w:val="28"/>
        </w:rPr>
        <w:t>The troubles of Memel have constantly recurred since the adoption of the</w:t>
      </w:r>
      <w:r>
        <w:rPr>
          <w:sz w:val="28"/>
          <w:szCs w:val="28"/>
        </w:rPr>
        <w:t xml:space="preserve"> Statute.” And he catalogues many of the times when the problems came before the Council of the LN or the Permanent Court of International Justice (PCIJ).</w:t>
      </w:r>
      <w:r>
        <w:rPr>
          <w:rStyle w:val="EndnoteReference"/>
          <w:sz w:val="28"/>
          <w:szCs w:val="28"/>
        </w:rPr>
        <w:endnoteReference w:id="25"/>
      </w:r>
      <w:r>
        <w:rPr>
          <w:sz w:val="28"/>
          <w:szCs w:val="28"/>
        </w:rPr>
        <w:t xml:space="preserve">  During the period when Germany was a LN member, 1926-1933, it often brought the actions to the Council.  The problem then became one of enforcement: who would make certain that rulings were followed.  Dawson is dismissive: </w:t>
      </w:r>
      <w:r w:rsidRPr="008D7063">
        <w:rPr>
          <w:sz w:val="28"/>
          <w:szCs w:val="28"/>
        </w:rPr>
        <w:t>“Like the Upper Silesian (Geneva) Convention, the Statute contains guarantees in plenty, but they are paper guarantees and events have shown them to have no more than the normal value of paper currencies in these</w:t>
      </w:r>
      <w:r>
        <w:rPr>
          <w:sz w:val="28"/>
          <w:szCs w:val="28"/>
        </w:rPr>
        <w:t xml:space="preserve"> times.”</w:t>
      </w:r>
      <w:r>
        <w:rPr>
          <w:rStyle w:val="EndnoteReference"/>
          <w:sz w:val="28"/>
          <w:szCs w:val="28"/>
        </w:rPr>
        <w:endnoteReference w:id="26"/>
      </w:r>
      <w:r>
        <w:rPr>
          <w:sz w:val="28"/>
          <w:szCs w:val="28"/>
        </w:rPr>
        <w:t xml:space="preserve">  </w:t>
      </w:r>
      <w:proofErr w:type="spellStart"/>
      <w:r>
        <w:rPr>
          <w:sz w:val="28"/>
          <w:szCs w:val="28"/>
        </w:rPr>
        <w:t>Kalijarvi</w:t>
      </w:r>
      <w:proofErr w:type="spellEnd"/>
      <w:r>
        <w:rPr>
          <w:sz w:val="28"/>
          <w:szCs w:val="28"/>
        </w:rPr>
        <w:t>, however, finds this a more interesting problem.  A legal scholar, he looks at the negotiations over the guarantees and concludes: “</w:t>
      </w:r>
      <w:r w:rsidRPr="008D7063">
        <w:rPr>
          <w:sz w:val="28"/>
          <w:szCs w:val="28"/>
        </w:rPr>
        <w:t>A close examination of these articles demonstrates clearly that the four signatory Powers did not specifically undertake any guarantee in the Memel</w:t>
      </w:r>
      <w:r>
        <w:rPr>
          <w:sz w:val="28"/>
          <w:szCs w:val="28"/>
        </w:rPr>
        <w:t xml:space="preserve"> Convention.  </w:t>
      </w:r>
      <w:r w:rsidRPr="008D7063">
        <w:rPr>
          <w:sz w:val="28"/>
          <w:szCs w:val="28"/>
        </w:rPr>
        <w:t>That is perhaps the great weakness of the instrument. Looking back over the negotiations surrounding the Statute, it is clear that the difficulties of the international administration prior to 1923 had been great and the Powers did not wish any further trouble from Memel.</w:t>
      </w:r>
      <w:r>
        <w:rPr>
          <w:sz w:val="28"/>
          <w:szCs w:val="28"/>
        </w:rPr>
        <w:t>”</w:t>
      </w:r>
      <w:r>
        <w:rPr>
          <w:rStyle w:val="EndnoteReference"/>
          <w:sz w:val="28"/>
          <w:szCs w:val="28"/>
        </w:rPr>
        <w:endnoteReference w:id="27"/>
      </w:r>
      <w:r>
        <w:rPr>
          <w:sz w:val="28"/>
          <w:szCs w:val="28"/>
        </w:rPr>
        <w:t xml:space="preserve">  Nothing was </w:t>
      </w:r>
      <w:proofErr w:type="gramStart"/>
      <w:r>
        <w:rPr>
          <w:sz w:val="28"/>
          <w:szCs w:val="28"/>
        </w:rPr>
        <w:t>guaranteed</w:t>
      </w:r>
      <w:proofErr w:type="gramEnd"/>
      <w:r>
        <w:rPr>
          <w:sz w:val="28"/>
          <w:szCs w:val="28"/>
        </w:rPr>
        <w:t xml:space="preserve"> and enforcement was up to Lithuania itself.</w:t>
      </w:r>
      <w:r>
        <w:rPr>
          <w:rStyle w:val="EndnoteReference"/>
          <w:sz w:val="28"/>
          <w:szCs w:val="28"/>
        </w:rPr>
        <w:endnoteReference w:id="28"/>
      </w:r>
    </w:p>
    <w:p w14:paraId="1D11DA9F" w14:textId="77777777" w:rsidR="00A97A17" w:rsidRDefault="00A97A17" w:rsidP="00A97A17">
      <w:pPr>
        <w:rPr>
          <w:sz w:val="28"/>
          <w:szCs w:val="28"/>
        </w:rPr>
      </w:pPr>
    </w:p>
    <w:p w14:paraId="50FCC5E6" w14:textId="77777777" w:rsidR="00A97A17" w:rsidRDefault="00A97A17" w:rsidP="00A97A17">
      <w:pPr>
        <w:rPr>
          <w:sz w:val="28"/>
          <w:szCs w:val="28"/>
        </w:rPr>
      </w:pPr>
      <w:r>
        <w:rPr>
          <w:sz w:val="28"/>
          <w:szCs w:val="28"/>
        </w:rPr>
        <w:t>Perhaps the guaranteeing powers (British Empire, France, Italy and Japan) knew better than to attempt to solve an irreconcilable problem.  Morrow believes that this is the case and that no amount of careful drafting or guarantees would save the situation: “</w:t>
      </w:r>
      <w:r w:rsidRPr="00DD7EF5">
        <w:rPr>
          <w:sz w:val="28"/>
          <w:szCs w:val="28"/>
        </w:rPr>
        <w:t>“The Statute of Memel suffers from obvious imperfections.  Nevertheless, it is hardly an exaggeration to say that the most perfect statute that could be devised by the political ingenuity of man would prove unworkable in the Memel Territory in the prevailing conditions.”</w:t>
      </w:r>
      <w:r>
        <w:rPr>
          <w:sz w:val="28"/>
          <w:szCs w:val="28"/>
        </w:rPr>
        <w:t xml:space="preserve"> He continues in order to clarify: </w:t>
      </w:r>
      <w:r w:rsidRPr="00DD7EF5">
        <w:rPr>
          <w:sz w:val="28"/>
          <w:szCs w:val="28"/>
        </w:rPr>
        <w:t>“It is for this reason that the technical aspects of the problem do not call for comment.  If the basic aspect of the problem is discovered to lie with the irreconcilability of the two races, the other aspects become of secondary importance…”</w:t>
      </w:r>
      <w:r>
        <w:rPr>
          <w:rStyle w:val="EndnoteReference"/>
          <w:sz w:val="28"/>
          <w:szCs w:val="28"/>
        </w:rPr>
        <w:endnoteReference w:id="29"/>
      </w:r>
      <w:r w:rsidRPr="00DD7EF5">
        <w:rPr>
          <w:sz w:val="28"/>
          <w:szCs w:val="28"/>
        </w:rPr>
        <w:t xml:space="preserve"> </w:t>
      </w:r>
      <w:r>
        <w:rPr>
          <w:sz w:val="28"/>
          <w:szCs w:val="28"/>
        </w:rPr>
        <w:t xml:space="preserve"> This is not so different from the last line in Dean’s article:</w:t>
      </w:r>
      <w:r w:rsidRPr="00B2204A">
        <w:rPr>
          <w:sz w:val="28"/>
          <w:szCs w:val="28"/>
        </w:rPr>
        <w:t xml:space="preserve"> “Given </w:t>
      </w:r>
      <w:r w:rsidRPr="00B2204A">
        <w:rPr>
          <w:sz w:val="28"/>
          <w:szCs w:val="28"/>
        </w:rPr>
        <w:lastRenderedPageBreak/>
        <w:t>such divergent mentalities, it is difficult to forecast a solution which will be both peaceful and lasting.”</w:t>
      </w:r>
      <w:r>
        <w:rPr>
          <w:rStyle w:val="EndnoteReference"/>
          <w:sz w:val="28"/>
          <w:szCs w:val="28"/>
        </w:rPr>
        <w:endnoteReference w:id="30"/>
      </w:r>
    </w:p>
    <w:p w14:paraId="0C40F4FB" w14:textId="77777777" w:rsidR="00A97A17" w:rsidRDefault="00A97A17" w:rsidP="00A97A17">
      <w:pPr>
        <w:rPr>
          <w:sz w:val="28"/>
          <w:szCs w:val="28"/>
        </w:rPr>
      </w:pPr>
    </w:p>
    <w:p w14:paraId="3302EE4B" w14:textId="77777777" w:rsidR="00A97A17" w:rsidRDefault="00A97A17" w:rsidP="00A97A17">
      <w:pPr>
        <w:rPr>
          <w:sz w:val="28"/>
          <w:szCs w:val="28"/>
        </w:rPr>
      </w:pPr>
      <w:r>
        <w:rPr>
          <w:sz w:val="28"/>
          <w:szCs w:val="28"/>
        </w:rPr>
        <w:t>The structure in Memel offered Lithuania permanent if limited sovereignty, the population some local autonomy and a set of guarantees that delivered nothing but ensured that all disputes (and there were many) would be played out on the international stage and not at the local level.  The minority rights regime allowed  citizens of the same state different legal rights, a sure recipe for resentment.</w:t>
      </w:r>
      <w:r>
        <w:rPr>
          <w:rStyle w:val="EndnoteReference"/>
          <w:sz w:val="28"/>
          <w:szCs w:val="28"/>
        </w:rPr>
        <w:endnoteReference w:id="31"/>
      </w:r>
      <w:r>
        <w:rPr>
          <w:sz w:val="28"/>
          <w:szCs w:val="28"/>
        </w:rPr>
        <w:t xml:space="preserve">   The struggle was necessarily between Germany, the protector of Germans wherever they lived, and Lithuania, just as von Kuhlmann saw German-French relations as the real importance of the Saar.</w:t>
      </w:r>
      <w:r>
        <w:rPr>
          <w:rStyle w:val="EndnoteReference"/>
          <w:sz w:val="28"/>
          <w:szCs w:val="28"/>
        </w:rPr>
        <w:endnoteReference w:id="32"/>
      </w:r>
      <w:r>
        <w:rPr>
          <w:sz w:val="28"/>
          <w:szCs w:val="28"/>
        </w:rPr>
        <w:t xml:space="preserve">  Once internationalized, the various small, local conflicts that in any other state would have been political issues between citizens, became struggles between states, with all the attendant propaganda, inflammatory rhetoric and potential for war.</w:t>
      </w:r>
    </w:p>
    <w:p w14:paraId="127C7410" w14:textId="77777777" w:rsidR="00A97A17" w:rsidRDefault="00A97A17" w:rsidP="00A97A17">
      <w:pPr>
        <w:rPr>
          <w:sz w:val="28"/>
          <w:szCs w:val="28"/>
        </w:rPr>
      </w:pPr>
    </w:p>
    <w:p w14:paraId="4B7D41DC" w14:textId="77777777" w:rsidR="00A97A17" w:rsidRPr="006F410D" w:rsidRDefault="00A97A17" w:rsidP="00A97A17">
      <w:pPr>
        <w:rPr>
          <w:b/>
          <w:sz w:val="28"/>
          <w:szCs w:val="28"/>
        </w:rPr>
      </w:pPr>
      <w:r>
        <w:rPr>
          <w:b/>
          <w:sz w:val="28"/>
          <w:szCs w:val="28"/>
        </w:rPr>
        <w:t>Danzig</w:t>
      </w:r>
    </w:p>
    <w:p w14:paraId="1F5469AB" w14:textId="77777777" w:rsidR="00A97A17" w:rsidRDefault="00A97A17" w:rsidP="00A97A17">
      <w:pPr>
        <w:rPr>
          <w:sz w:val="28"/>
          <w:szCs w:val="28"/>
        </w:rPr>
      </w:pPr>
    </w:p>
    <w:p w14:paraId="0466894F" w14:textId="77777777" w:rsidR="00A97A17" w:rsidRPr="002B7B63" w:rsidRDefault="00A97A17" w:rsidP="00A97A17">
      <w:pPr>
        <w:rPr>
          <w:sz w:val="28"/>
          <w:szCs w:val="28"/>
        </w:rPr>
      </w:pPr>
      <w:r>
        <w:rPr>
          <w:sz w:val="28"/>
          <w:szCs w:val="28"/>
        </w:rPr>
        <w:t>Danzig was yet another experiment in internationalization.</w:t>
      </w:r>
      <w:r>
        <w:rPr>
          <w:rStyle w:val="EndnoteReference"/>
          <w:sz w:val="28"/>
          <w:szCs w:val="28"/>
        </w:rPr>
        <w:endnoteReference w:id="33"/>
      </w:r>
      <w:r>
        <w:rPr>
          <w:sz w:val="28"/>
          <w:szCs w:val="28"/>
        </w:rPr>
        <w:t xml:space="preserve">  Mason opens with </w:t>
      </w:r>
      <w:r w:rsidRPr="004A0BF1">
        <w:rPr>
          <w:sz w:val="28"/>
          <w:szCs w:val="28"/>
        </w:rPr>
        <w:t xml:space="preserve">“In its political and legal peculiarities, it </w:t>
      </w:r>
      <w:r>
        <w:rPr>
          <w:sz w:val="28"/>
          <w:szCs w:val="28"/>
        </w:rPr>
        <w:t xml:space="preserve">[Danzig] </w:t>
      </w:r>
      <w:r w:rsidRPr="004A0BF1">
        <w:rPr>
          <w:sz w:val="28"/>
          <w:szCs w:val="28"/>
        </w:rPr>
        <w:t xml:space="preserve">is one of the more unusual children of that prolific parent, the Treaty of </w:t>
      </w:r>
      <w:proofErr w:type="gramStart"/>
      <w:r w:rsidRPr="004A0BF1">
        <w:rPr>
          <w:sz w:val="28"/>
          <w:szCs w:val="28"/>
        </w:rPr>
        <w:t>Versailles,…</w:t>
      </w:r>
      <w:proofErr w:type="gramEnd"/>
      <w:r w:rsidRPr="004A0BF1">
        <w:rPr>
          <w:sz w:val="28"/>
          <w:szCs w:val="28"/>
        </w:rPr>
        <w:t>”</w:t>
      </w:r>
      <w:r>
        <w:rPr>
          <w:rStyle w:val="EndnoteReference"/>
          <w:sz w:val="28"/>
          <w:szCs w:val="28"/>
        </w:rPr>
        <w:endnoteReference w:id="34"/>
      </w:r>
      <w:r>
        <w:rPr>
          <w:sz w:val="28"/>
          <w:szCs w:val="28"/>
        </w:rPr>
        <w:t xml:space="preserve"> just so that we know that we are back in the realm of uncategorizable, innovative, </w:t>
      </w:r>
      <w:r>
        <w:rPr>
          <w:i/>
          <w:sz w:val="28"/>
          <w:szCs w:val="28"/>
        </w:rPr>
        <w:t xml:space="preserve">sui generis </w:t>
      </w:r>
      <w:r>
        <w:rPr>
          <w:sz w:val="28"/>
          <w:szCs w:val="28"/>
        </w:rPr>
        <w:t>legal work.</w:t>
      </w:r>
      <w:r>
        <w:rPr>
          <w:rStyle w:val="EndnoteReference"/>
          <w:sz w:val="28"/>
          <w:szCs w:val="28"/>
        </w:rPr>
        <w:endnoteReference w:id="35"/>
      </w:r>
      <w:r>
        <w:rPr>
          <w:sz w:val="28"/>
          <w:szCs w:val="28"/>
        </w:rPr>
        <w:t xml:space="preserve">   Like Memel, this had been a part of Prussia, and the issue was giving the new state of Poland access to the sea.  Again, this was in conflict with another of Wilson’s Fourteen Points: self-determination.  The population of the city was almost entirely German, and the surrounding rural area was a mix of Germans and Poles.  While it gave Poland an outlet to the sea, it separated East Prussia from the rest of Germany, creating complications and immediate demands for revision.  France started the negotiations with a proposal to simply give the area to Poland and had the support of the US, but the UK refused this.  Lloyd George feared that this would create a “</w:t>
      </w:r>
      <w:r w:rsidRPr="00BB50B2">
        <w:rPr>
          <w:i/>
          <w:sz w:val="28"/>
          <w:szCs w:val="28"/>
        </w:rPr>
        <w:t xml:space="preserve">Germania </w:t>
      </w:r>
      <w:proofErr w:type="spellStart"/>
      <w:r w:rsidRPr="00BB50B2">
        <w:rPr>
          <w:i/>
          <w:sz w:val="28"/>
          <w:szCs w:val="28"/>
        </w:rPr>
        <w:t>Irridentia</w:t>
      </w:r>
      <w:proofErr w:type="spellEnd"/>
      <w:r>
        <w:rPr>
          <w:sz w:val="28"/>
          <w:szCs w:val="28"/>
        </w:rPr>
        <w:t>” and lead to further war.  The US then supported the UK on the issue, and on 28 March 1919, they come up with “…free, international and independent…”  The French accepted this notion 10 April, and then the drafting began.</w:t>
      </w:r>
      <w:r>
        <w:rPr>
          <w:rStyle w:val="EndnoteReference"/>
          <w:sz w:val="28"/>
          <w:szCs w:val="28"/>
        </w:rPr>
        <w:endnoteReference w:id="36"/>
      </w:r>
      <w:r>
        <w:rPr>
          <w:sz w:val="28"/>
          <w:szCs w:val="28"/>
        </w:rPr>
        <w:t xml:space="preserve">  Morrow sums it up this way: “</w:t>
      </w:r>
      <w:r w:rsidRPr="009A2F33">
        <w:rPr>
          <w:sz w:val="28"/>
          <w:szCs w:val="28"/>
        </w:rPr>
        <w:t>At the suggestion of Mr. Lloyd George</w:t>
      </w:r>
      <w:r>
        <w:rPr>
          <w:sz w:val="28"/>
          <w:szCs w:val="28"/>
        </w:rPr>
        <w:t>,</w:t>
      </w:r>
      <w:r w:rsidRPr="009A2F33">
        <w:rPr>
          <w:sz w:val="28"/>
          <w:szCs w:val="28"/>
        </w:rPr>
        <w:t xml:space="preserve"> the Conference sought and found a way out of its difficulty by means of a compromise that satisfied nobody and subsequently caused innumerable disputes.”</w:t>
      </w:r>
      <w:r>
        <w:rPr>
          <w:rStyle w:val="EndnoteReference"/>
          <w:sz w:val="28"/>
          <w:szCs w:val="28"/>
        </w:rPr>
        <w:endnoteReference w:id="37"/>
      </w:r>
      <w:r>
        <w:rPr>
          <w:sz w:val="28"/>
          <w:szCs w:val="28"/>
        </w:rPr>
        <w:t xml:space="preserve">  Perhaps that was the point: Dell believes that it was designed to engender conflict: </w:t>
      </w:r>
      <w:r w:rsidRPr="002B7B63">
        <w:rPr>
          <w:sz w:val="28"/>
          <w:szCs w:val="28"/>
        </w:rPr>
        <w:t xml:space="preserve">“Few people believed, when the Treaty of </w:t>
      </w:r>
      <w:r w:rsidRPr="002B7B63">
        <w:rPr>
          <w:sz w:val="28"/>
          <w:szCs w:val="28"/>
        </w:rPr>
        <w:lastRenderedPageBreak/>
        <w:t>Versailles was signed, that the arrangement [Danzig and the Polish Corridor] could be permanent.  Clearly it was likely to make good relations between Germany and Poland difficult.”</w:t>
      </w:r>
      <w:r>
        <w:rPr>
          <w:sz w:val="28"/>
          <w:szCs w:val="28"/>
        </w:rPr>
        <w:t xml:space="preserve">  He continues </w:t>
      </w:r>
      <w:r w:rsidRPr="002B7B63">
        <w:rPr>
          <w:sz w:val="28"/>
          <w:szCs w:val="28"/>
        </w:rPr>
        <w:t xml:space="preserve">“It is to be feared that Clemenceau wished to keep Poland and Germany on bad terms.”  </w:t>
      </w:r>
      <w:r>
        <w:rPr>
          <w:sz w:val="28"/>
          <w:szCs w:val="28"/>
        </w:rPr>
        <w:t xml:space="preserve">And concludes with </w:t>
      </w:r>
      <w:r w:rsidRPr="002B7B63">
        <w:rPr>
          <w:sz w:val="28"/>
          <w:szCs w:val="28"/>
        </w:rPr>
        <w:t>“Almost any solution would have been better than that actually adopted.”</w:t>
      </w:r>
      <w:r>
        <w:rPr>
          <w:rStyle w:val="EndnoteReference"/>
          <w:sz w:val="28"/>
          <w:szCs w:val="28"/>
        </w:rPr>
        <w:endnoteReference w:id="38"/>
      </w:r>
    </w:p>
    <w:p w14:paraId="6CAE5A69" w14:textId="77777777" w:rsidR="00A97A17" w:rsidRDefault="00A97A17" w:rsidP="00A97A17">
      <w:pPr>
        <w:rPr>
          <w:sz w:val="28"/>
          <w:szCs w:val="28"/>
        </w:rPr>
      </w:pPr>
    </w:p>
    <w:p w14:paraId="77CF6F9E" w14:textId="77777777" w:rsidR="00A97A17" w:rsidRDefault="00A97A17" w:rsidP="00A97A17">
      <w:pPr>
        <w:rPr>
          <w:sz w:val="28"/>
          <w:szCs w:val="28"/>
        </w:rPr>
      </w:pPr>
      <w:r>
        <w:rPr>
          <w:sz w:val="28"/>
          <w:szCs w:val="28"/>
        </w:rPr>
        <w:t>The compromises created the Free City of Danzig.  While clearly separated from Germany, everything else about its status was ambiguous.  It fell under the protection and guarantee of the LN which was represented there by the High Commissioner.  It was not under Polish sovereignty, but Poland was responsible for much of the economy, defense,</w:t>
      </w:r>
      <w:r>
        <w:rPr>
          <w:rStyle w:val="EndnoteReference"/>
          <w:sz w:val="28"/>
          <w:szCs w:val="28"/>
        </w:rPr>
        <w:endnoteReference w:id="39"/>
      </w:r>
      <w:r>
        <w:rPr>
          <w:sz w:val="28"/>
          <w:szCs w:val="28"/>
        </w:rPr>
        <w:t xml:space="preserve"> and foreign policy.  Morrow wrote an analysis, and his conclusion was simply “…the international status of Danzig can be described but not classified…”.</w:t>
      </w:r>
      <w:r>
        <w:rPr>
          <w:rStyle w:val="EndnoteReference"/>
          <w:sz w:val="28"/>
          <w:szCs w:val="28"/>
        </w:rPr>
        <w:endnoteReference w:id="40"/>
      </w:r>
      <w:r>
        <w:rPr>
          <w:sz w:val="28"/>
          <w:szCs w:val="28"/>
        </w:rPr>
        <w:t xml:space="preserve">  Mason wrote a far more systematic article, gives five pages to an overview of what other publicists say about Danzig, and is careful to note that few of them agree.  The rest of the article is taken up with the issue of whether Danzig is a state or not, and if so, what sort of state.  There are seven pages of that, and Mason, at least, concludes that it is, but that it has a lot of obligations to Poland.</w:t>
      </w:r>
      <w:r w:rsidRPr="00037354">
        <w:rPr>
          <w:rStyle w:val="EndnoteReference"/>
          <w:sz w:val="28"/>
          <w:szCs w:val="28"/>
        </w:rPr>
        <w:t xml:space="preserve"> </w:t>
      </w:r>
      <w:r>
        <w:rPr>
          <w:rStyle w:val="EndnoteReference"/>
          <w:sz w:val="28"/>
          <w:szCs w:val="28"/>
        </w:rPr>
        <w:endnoteReference w:id="41"/>
      </w:r>
      <w:r>
        <w:rPr>
          <w:sz w:val="28"/>
          <w:szCs w:val="28"/>
        </w:rPr>
        <w:t xml:space="preserve"> </w:t>
      </w:r>
    </w:p>
    <w:p w14:paraId="6BF9FBCE" w14:textId="77777777" w:rsidR="00A97A17" w:rsidRDefault="00A97A17" w:rsidP="00A97A17">
      <w:pPr>
        <w:rPr>
          <w:sz w:val="28"/>
          <w:szCs w:val="28"/>
        </w:rPr>
      </w:pPr>
    </w:p>
    <w:p w14:paraId="703DEDF7" w14:textId="77777777" w:rsidR="00A97A17" w:rsidRDefault="00A97A17" w:rsidP="00A97A17">
      <w:pPr>
        <w:rPr>
          <w:sz w:val="28"/>
          <w:szCs w:val="28"/>
        </w:rPr>
      </w:pPr>
      <w:r>
        <w:rPr>
          <w:sz w:val="28"/>
          <w:szCs w:val="28"/>
        </w:rPr>
        <w:t>There are no writers who don’t complain about the lack of clarity in the documents and the costs of that ambiguity.</w:t>
      </w:r>
      <w:r>
        <w:rPr>
          <w:rStyle w:val="EndnoteReference"/>
          <w:sz w:val="28"/>
          <w:szCs w:val="28"/>
        </w:rPr>
        <w:endnoteReference w:id="42"/>
      </w:r>
      <w:r>
        <w:rPr>
          <w:sz w:val="28"/>
          <w:szCs w:val="28"/>
        </w:rPr>
        <w:t xml:space="preserve">   Indistinctness is at the core of the long and tangled discussions of the nature of the law, and ambiguity is at the root of the political decisions that created the laws: who wanted what, and why?  All of them warn that the obscurity created and encouraged conflict.  The basic legal and diplomatic ambiguities gave rise to all the rest:  uncertainty for the states involved, for the LN itself, and for the inhabitants.  For Germany, each of those ambiguities was a tool to create conflict. </w:t>
      </w:r>
    </w:p>
    <w:p w14:paraId="12DF1EBC" w14:textId="77777777" w:rsidR="00A97A17" w:rsidRDefault="00A97A17" w:rsidP="00A97A17">
      <w:pPr>
        <w:rPr>
          <w:sz w:val="28"/>
          <w:szCs w:val="28"/>
        </w:rPr>
      </w:pPr>
    </w:p>
    <w:p w14:paraId="14AACB78" w14:textId="77777777" w:rsidR="00A97A17" w:rsidRDefault="00A97A17" w:rsidP="00A97A17">
      <w:pPr>
        <w:rPr>
          <w:sz w:val="28"/>
          <w:szCs w:val="28"/>
        </w:rPr>
      </w:pPr>
      <w:r>
        <w:rPr>
          <w:sz w:val="28"/>
          <w:szCs w:val="28"/>
        </w:rPr>
        <w:t xml:space="preserve">From the law and the </w:t>
      </w:r>
      <w:proofErr w:type="gramStart"/>
      <w:r>
        <w:rPr>
          <w:sz w:val="28"/>
          <w:szCs w:val="28"/>
        </w:rPr>
        <w:t>situation</w:t>
      </w:r>
      <w:proofErr w:type="gramEnd"/>
      <w:r>
        <w:rPr>
          <w:sz w:val="28"/>
          <w:szCs w:val="28"/>
        </w:rPr>
        <w:t xml:space="preserve"> it creates flows the lived experience of the people there and the stories of how they dealt with their constraints.  Van Hamel, as the LN High Commissioner 1925-29</w:t>
      </w:r>
      <w:r>
        <w:rPr>
          <w:rStyle w:val="EndnoteReference"/>
          <w:sz w:val="28"/>
          <w:szCs w:val="28"/>
        </w:rPr>
        <w:endnoteReference w:id="43"/>
      </w:r>
      <w:r>
        <w:rPr>
          <w:sz w:val="28"/>
          <w:szCs w:val="28"/>
        </w:rPr>
        <w:t>, dealt with the politics every day, and for him, the important political issues were between Poland and Germany.   Danzig was merely a space to play them out, though certainly it also created issues between the two states.  He gives an overview of the two sides’ arguments, but his conclusions are dire.  His article concludes its section on the politics with a clear prediction of war: “…the resultant condition [the conflict between the two states over Danzig] contains the seeds of war.”  He continues later: “</w:t>
      </w:r>
      <w:r w:rsidRPr="001D4E56">
        <w:rPr>
          <w:sz w:val="28"/>
          <w:szCs w:val="28"/>
        </w:rPr>
        <w:t xml:space="preserve">At the critical </w:t>
      </w:r>
      <w:r w:rsidRPr="001D4E56">
        <w:rPr>
          <w:sz w:val="28"/>
          <w:szCs w:val="28"/>
        </w:rPr>
        <w:lastRenderedPageBreak/>
        <w:t>moment, neither party will give way, yet neither can master the situation, and more or less unavoidably the armed conflict</w:t>
      </w:r>
      <w:r>
        <w:rPr>
          <w:sz w:val="28"/>
          <w:szCs w:val="28"/>
        </w:rPr>
        <w:t xml:space="preserve"> ensues.”</w:t>
      </w:r>
      <w:r>
        <w:rPr>
          <w:rStyle w:val="EndnoteReference"/>
          <w:sz w:val="28"/>
          <w:szCs w:val="28"/>
        </w:rPr>
        <w:endnoteReference w:id="44"/>
      </w:r>
      <w:r>
        <w:rPr>
          <w:sz w:val="28"/>
          <w:szCs w:val="28"/>
        </w:rPr>
        <w:t xml:space="preserve">  Bluntly, war might be averted with certain changes, but if the present situation is maintained, it will happen. </w:t>
      </w:r>
    </w:p>
    <w:p w14:paraId="774C84C5" w14:textId="77777777" w:rsidR="00A97A17" w:rsidRDefault="00A97A17" w:rsidP="00A97A17">
      <w:pPr>
        <w:rPr>
          <w:sz w:val="28"/>
          <w:szCs w:val="28"/>
        </w:rPr>
      </w:pPr>
    </w:p>
    <w:p w14:paraId="4D8E7306" w14:textId="77777777" w:rsidR="00A97A17" w:rsidRDefault="00A97A17" w:rsidP="00A97A17">
      <w:pPr>
        <w:rPr>
          <w:sz w:val="28"/>
          <w:szCs w:val="28"/>
        </w:rPr>
      </w:pPr>
      <w:r>
        <w:rPr>
          <w:sz w:val="28"/>
          <w:szCs w:val="28"/>
        </w:rPr>
        <w:t xml:space="preserve">Van Hamel isn’t just interested in politics; he lived in Danzig with the people for four years and knows the way that situation distorted their lives.  When dealing with politics, he thinks only in terms of Germany and Poland; on the ground, he writes of the </w:t>
      </w:r>
      <w:proofErr w:type="spellStart"/>
      <w:r>
        <w:rPr>
          <w:sz w:val="28"/>
          <w:szCs w:val="28"/>
        </w:rPr>
        <w:t>Danzigers</w:t>
      </w:r>
      <w:proofErr w:type="spellEnd"/>
      <w:r>
        <w:rPr>
          <w:sz w:val="28"/>
          <w:szCs w:val="28"/>
        </w:rPr>
        <w:t xml:space="preserve">.  He opens his section on the lives of the inhabitants this way: </w:t>
      </w:r>
    </w:p>
    <w:p w14:paraId="6CDF97F3" w14:textId="77777777" w:rsidR="00A97A17" w:rsidRDefault="00A97A17" w:rsidP="00A97A17">
      <w:pPr>
        <w:rPr>
          <w:sz w:val="28"/>
          <w:szCs w:val="28"/>
        </w:rPr>
      </w:pPr>
    </w:p>
    <w:p w14:paraId="58D53F42" w14:textId="77777777" w:rsidR="00A97A17" w:rsidRDefault="00A97A17" w:rsidP="00A97A17">
      <w:pPr>
        <w:ind w:left="720"/>
        <w:rPr>
          <w:sz w:val="28"/>
          <w:szCs w:val="28"/>
        </w:rPr>
      </w:pPr>
      <w:r w:rsidRPr="00C264E1">
        <w:rPr>
          <w:sz w:val="28"/>
          <w:szCs w:val="28"/>
        </w:rPr>
        <w:t>Among the inhabitants of the disputed territories, the effect of the existing uncertainty about the future is disastrous and demorali</w:t>
      </w:r>
      <w:r>
        <w:rPr>
          <w:sz w:val="28"/>
          <w:szCs w:val="28"/>
        </w:rPr>
        <w:t>z</w:t>
      </w:r>
      <w:r w:rsidRPr="00C264E1">
        <w:rPr>
          <w:sz w:val="28"/>
          <w:szCs w:val="28"/>
        </w:rPr>
        <w:t>ing. To them even the most peaceful determination of another government to see the situation changed, when constantly and openly repressed, means endless agitation, instability, and</w:t>
      </w:r>
      <w:r>
        <w:rPr>
          <w:sz w:val="28"/>
          <w:szCs w:val="28"/>
        </w:rPr>
        <w:t xml:space="preserve"> unrest.</w:t>
      </w:r>
      <w:r>
        <w:rPr>
          <w:rStyle w:val="EndnoteReference"/>
          <w:sz w:val="28"/>
          <w:szCs w:val="28"/>
        </w:rPr>
        <w:endnoteReference w:id="45"/>
      </w:r>
    </w:p>
    <w:p w14:paraId="07E8BC18" w14:textId="77777777" w:rsidR="00A97A17" w:rsidRDefault="00A97A17" w:rsidP="00A97A17">
      <w:pPr>
        <w:ind w:left="720"/>
        <w:rPr>
          <w:sz w:val="28"/>
          <w:szCs w:val="28"/>
        </w:rPr>
      </w:pPr>
    </w:p>
    <w:p w14:paraId="06849487" w14:textId="77777777" w:rsidR="00A97A17" w:rsidRDefault="00A97A17" w:rsidP="00A97A17">
      <w:pPr>
        <w:rPr>
          <w:sz w:val="28"/>
          <w:szCs w:val="28"/>
        </w:rPr>
      </w:pPr>
      <w:r>
        <w:rPr>
          <w:sz w:val="28"/>
          <w:szCs w:val="28"/>
        </w:rPr>
        <w:t>He considers the inhabitants the “first victims” of the conflict, though they are also active antagonists, for that is what the situation demands of them.  Membership in a nation requires that the individuals take on the nation’s conflicts.</w:t>
      </w:r>
    </w:p>
    <w:p w14:paraId="2742AE2D" w14:textId="77777777" w:rsidR="00A97A17" w:rsidRDefault="00A97A17" w:rsidP="00A97A17">
      <w:pPr>
        <w:rPr>
          <w:sz w:val="28"/>
          <w:szCs w:val="28"/>
        </w:rPr>
      </w:pPr>
      <w:r>
        <w:rPr>
          <w:sz w:val="28"/>
          <w:szCs w:val="28"/>
        </w:rPr>
        <w:t xml:space="preserve"> </w:t>
      </w:r>
    </w:p>
    <w:p w14:paraId="4420B17D" w14:textId="77777777" w:rsidR="00A97A17" w:rsidRDefault="00A97A17" w:rsidP="00A97A17">
      <w:pPr>
        <w:rPr>
          <w:sz w:val="28"/>
          <w:szCs w:val="28"/>
        </w:rPr>
      </w:pPr>
      <w:r>
        <w:rPr>
          <w:sz w:val="28"/>
          <w:szCs w:val="28"/>
        </w:rPr>
        <w:t>While Morrow and van Hamel, the two most important authors on Danzig, agree that the problem is based in nationalism - both of them use the word ‘race’ - and is therefore insoluble, they disagree on the reasons for the agitation.  Ever the reasonable Englishman and naturally distrustful of the high emotions of the Continent, Morrow begins “Conclusion I: The psychological aspect of the Danzig-Polish Question is relatively of greater importance than its political or economic aspects.”</w:t>
      </w:r>
      <w:r>
        <w:rPr>
          <w:rStyle w:val="EndnoteReference"/>
          <w:sz w:val="28"/>
          <w:szCs w:val="28"/>
        </w:rPr>
        <w:endnoteReference w:id="46"/>
      </w:r>
      <w:r>
        <w:rPr>
          <w:sz w:val="28"/>
          <w:szCs w:val="28"/>
        </w:rPr>
        <w:t xml:space="preserve"> He goes on to explain that most of the problems would be soluble if only people were reasonable and wanted to come to a solution.  Van Hamel agrees that they don’t want to come to a solution, but he is from the Continent, and lived in Danzig for four years.  He thinks the conflict is rational and blames the LN.  For him, the core problem isn’t the decisions of the LN, nor the ambiguity built into its decisions, but rather its very existence:” …</w:t>
      </w:r>
      <w:r w:rsidRPr="002F6D9A">
        <w:rPr>
          <w:sz w:val="28"/>
          <w:szCs w:val="28"/>
        </w:rPr>
        <w:t>the result</w:t>
      </w:r>
      <w:r>
        <w:rPr>
          <w:sz w:val="28"/>
          <w:szCs w:val="28"/>
        </w:rPr>
        <w:t xml:space="preserve"> [of the possibility of change]</w:t>
      </w:r>
      <w:r w:rsidRPr="002F6D9A">
        <w:rPr>
          <w:sz w:val="28"/>
          <w:szCs w:val="28"/>
        </w:rPr>
        <w:t xml:space="preserve"> is a permanent struggle, more or less silent, in which the territories concerned become the battleground, and their inhabitants the first victims.  Such </w:t>
      </w:r>
      <w:r w:rsidRPr="002F6D9A">
        <w:rPr>
          <w:sz w:val="28"/>
          <w:szCs w:val="28"/>
        </w:rPr>
        <w:lastRenderedPageBreak/>
        <w:t>a situation has developed between Germany and Poland, and, to a certain extent, is even encouraged by the existence of the League of Nations.”</w:t>
      </w:r>
      <w:r>
        <w:rPr>
          <w:rStyle w:val="EndnoteReference"/>
          <w:sz w:val="28"/>
          <w:szCs w:val="28"/>
        </w:rPr>
        <w:endnoteReference w:id="47"/>
      </w:r>
      <w:r>
        <w:rPr>
          <w:sz w:val="28"/>
          <w:szCs w:val="28"/>
        </w:rPr>
        <w:t xml:space="preserve">  </w:t>
      </w:r>
    </w:p>
    <w:p w14:paraId="3545EAA4" w14:textId="77777777" w:rsidR="00A97A17" w:rsidRDefault="00A97A17" w:rsidP="00A97A17">
      <w:pPr>
        <w:rPr>
          <w:sz w:val="28"/>
          <w:szCs w:val="28"/>
        </w:rPr>
      </w:pPr>
    </w:p>
    <w:p w14:paraId="56477470" w14:textId="77777777" w:rsidR="00A97A17" w:rsidRDefault="00A97A17" w:rsidP="00A97A17">
      <w:pPr>
        <w:rPr>
          <w:sz w:val="28"/>
          <w:szCs w:val="28"/>
        </w:rPr>
      </w:pPr>
      <w:r>
        <w:rPr>
          <w:sz w:val="28"/>
          <w:szCs w:val="28"/>
        </w:rPr>
        <w:t>Historically, Europe had to have wars before there were territorial changes.  The LN was designed to be a forum of change in times of peace, as contained in Article 19 of the Covenant.  Van Hamel continues: “</w:t>
      </w:r>
      <w:r w:rsidRPr="002F6D9A">
        <w:rPr>
          <w:sz w:val="28"/>
          <w:szCs w:val="28"/>
        </w:rPr>
        <w:t>The natural effect of this provision</w:t>
      </w:r>
      <w:r>
        <w:rPr>
          <w:sz w:val="28"/>
          <w:szCs w:val="28"/>
        </w:rPr>
        <w:t xml:space="preserve"> [Article 19]</w:t>
      </w:r>
      <w:r w:rsidRPr="002F6D9A">
        <w:rPr>
          <w:sz w:val="28"/>
          <w:szCs w:val="28"/>
        </w:rPr>
        <w:t xml:space="preserve"> is that a country desiring to see certain territorial arrangements modified will do everything within its</w:t>
      </w:r>
      <w:r>
        <w:rPr>
          <w:sz w:val="28"/>
          <w:szCs w:val="28"/>
        </w:rPr>
        <w:t xml:space="preserve"> </w:t>
      </w:r>
      <w:r w:rsidRPr="002F6D9A">
        <w:rPr>
          <w:sz w:val="28"/>
          <w:szCs w:val="28"/>
        </w:rPr>
        <w:t>power to emphasize the defects of the arrangements and to let them be a failure, in order to strengthen its case before the public opinion of the world and before the League.</w:t>
      </w:r>
      <w:r>
        <w:rPr>
          <w:sz w:val="28"/>
          <w:szCs w:val="28"/>
        </w:rPr>
        <w:t>”</w:t>
      </w:r>
      <w:r>
        <w:rPr>
          <w:rStyle w:val="EndnoteReference"/>
          <w:sz w:val="28"/>
          <w:szCs w:val="28"/>
        </w:rPr>
        <w:endnoteReference w:id="48"/>
      </w:r>
      <w:r>
        <w:rPr>
          <w:sz w:val="28"/>
          <w:szCs w:val="28"/>
        </w:rPr>
        <w:t xml:space="preserve">  No one bothers to change things that are working, only failure invites revision, so the population had to work for failure, and that was perfectly reasonable.</w:t>
      </w:r>
      <w:r>
        <w:rPr>
          <w:rStyle w:val="EndnoteReference"/>
          <w:sz w:val="28"/>
          <w:szCs w:val="28"/>
        </w:rPr>
        <w:endnoteReference w:id="49"/>
      </w:r>
      <w:r>
        <w:rPr>
          <w:sz w:val="28"/>
          <w:szCs w:val="28"/>
        </w:rPr>
        <w:t xml:space="preserve">  When states had to choose war before there could be changes, they had to weigh the risks of failure against the possible gains.  With the possibility of peacetime change, the costs are low and the possible rewards high; valuable change might be gained by simply sending in propagandists and agitators and constantly stirring the pot.</w:t>
      </w:r>
      <w:r>
        <w:rPr>
          <w:rStyle w:val="EndnoteReference"/>
          <w:sz w:val="28"/>
          <w:szCs w:val="28"/>
        </w:rPr>
        <w:endnoteReference w:id="50"/>
      </w:r>
    </w:p>
    <w:p w14:paraId="0E4AC4E2" w14:textId="77777777" w:rsidR="00A97A17" w:rsidRDefault="00A97A17" w:rsidP="00A97A17">
      <w:pPr>
        <w:rPr>
          <w:sz w:val="28"/>
          <w:szCs w:val="28"/>
        </w:rPr>
      </w:pPr>
    </w:p>
    <w:p w14:paraId="656FBD8F" w14:textId="77777777" w:rsidR="00A97A17" w:rsidRDefault="00A97A17" w:rsidP="00A97A17">
      <w:pPr>
        <w:rPr>
          <w:sz w:val="28"/>
          <w:szCs w:val="28"/>
        </w:rPr>
      </w:pPr>
      <w:r>
        <w:rPr>
          <w:sz w:val="28"/>
          <w:szCs w:val="28"/>
        </w:rPr>
        <w:t>If an individual’s primary identification is national, and all the commentators agree again and again that it is, then the struggle to make the situation a failure is the individual’s contribution to the greater good; it is a virtuous act.</w:t>
      </w:r>
      <w:r>
        <w:rPr>
          <w:rStyle w:val="EndnoteReference"/>
          <w:sz w:val="28"/>
          <w:szCs w:val="28"/>
        </w:rPr>
        <w:endnoteReference w:id="51"/>
      </w:r>
      <w:r>
        <w:rPr>
          <w:sz w:val="28"/>
          <w:szCs w:val="28"/>
        </w:rPr>
        <w:t xml:space="preserve">  Van Hamel includes this story: “</w:t>
      </w:r>
      <w:r w:rsidRPr="00815BD4">
        <w:rPr>
          <w:sz w:val="28"/>
          <w:szCs w:val="28"/>
        </w:rPr>
        <w:t>A few days afterwards</w:t>
      </w:r>
      <w:r>
        <w:rPr>
          <w:sz w:val="28"/>
          <w:szCs w:val="28"/>
        </w:rPr>
        <w:t xml:space="preserve"> [of a successful negotiation of a problem]</w:t>
      </w:r>
      <w:r w:rsidRPr="00815BD4">
        <w:rPr>
          <w:sz w:val="28"/>
          <w:szCs w:val="28"/>
        </w:rPr>
        <w:t xml:space="preserve"> a Danzig lady, a woman possessed of much common sense and moderation, expressed herself, in all sincerity, as follows: </w:t>
      </w:r>
      <w:r>
        <w:rPr>
          <w:sz w:val="28"/>
          <w:szCs w:val="28"/>
        </w:rPr>
        <w:t>‘</w:t>
      </w:r>
      <w:r w:rsidRPr="00815BD4">
        <w:rPr>
          <w:sz w:val="28"/>
          <w:szCs w:val="28"/>
        </w:rPr>
        <w:t>They have now done the most undesirable thing, they have brought the question to an</w:t>
      </w:r>
      <w:r>
        <w:rPr>
          <w:sz w:val="28"/>
          <w:szCs w:val="28"/>
        </w:rPr>
        <w:t xml:space="preserve"> end.’ “</w:t>
      </w:r>
      <w:r>
        <w:rPr>
          <w:rStyle w:val="EndnoteReference"/>
          <w:sz w:val="28"/>
          <w:szCs w:val="28"/>
        </w:rPr>
        <w:endnoteReference w:id="52"/>
      </w:r>
      <w:r>
        <w:rPr>
          <w:sz w:val="28"/>
          <w:szCs w:val="28"/>
        </w:rPr>
        <w:t xml:space="preserve">  The international community had set the terms of the situation such that reasonable people would want for themselves the worst possible conditions and feel virtuous about it.</w:t>
      </w:r>
      <w:r>
        <w:rPr>
          <w:rStyle w:val="EndnoteReference"/>
          <w:sz w:val="28"/>
          <w:szCs w:val="28"/>
        </w:rPr>
        <w:endnoteReference w:id="53"/>
      </w:r>
    </w:p>
    <w:p w14:paraId="0AC7FE47" w14:textId="77777777" w:rsidR="00A97A17" w:rsidRDefault="00A97A17" w:rsidP="00A97A17">
      <w:pPr>
        <w:rPr>
          <w:sz w:val="28"/>
          <w:szCs w:val="28"/>
        </w:rPr>
      </w:pPr>
    </w:p>
    <w:p w14:paraId="3572AFC7" w14:textId="77777777" w:rsidR="00A97A17" w:rsidRDefault="00A97A17" w:rsidP="00A97A17">
      <w:pPr>
        <w:rPr>
          <w:sz w:val="28"/>
          <w:szCs w:val="28"/>
        </w:rPr>
      </w:pPr>
      <w:r>
        <w:rPr>
          <w:sz w:val="28"/>
          <w:szCs w:val="28"/>
        </w:rPr>
        <w:t>Failure is relatively easy to achieve, particularly in situations where the majority of the population is on the side of failure.  Further, it is self-reinforcing: when changes are made because things are bad, it motivates the population to make things yet worse.  Every time the conflict went to Geneva to be adjudicated there, it was a win for change through failure and conflict: they had made what might have been a local matter a problem for the entire international community, with all the attendant coverage and propaganda potential.  Van Hamel is clear that this is a cause of conflict that must be stopped.</w:t>
      </w:r>
      <w:r>
        <w:rPr>
          <w:rStyle w:val="EndnoteReference"/>
          <w:sz w:val="28"/>
          <w:szCs w:val="28"/>
        </w:rPr>
        <w:endnoteReference w:id="54"/>
      </w:r>
      <w:r>
        <w:rPr>
          <w:sz w:val="28"/>
          <w:szCs w:val="28"/>
        </w:rPr>
        <w:t xml:space="preserve"> </w:t>
      </w:r>
    </w:p>
    <w:p w14:paraId="0BCE31CC" w14:textId="77777777" w:rsidR="00A97A17" w:rsidRDefault="00A97A17" w:rsidP="00A97A17">
      <w:pPr>
        <w:rPr>
          <w:sz w:val="28"/>
          <w:szCs w:val="28"/>
        </w:rPr>
      </w:pPr>
    </w:p>
    <w:p w14:paraId="0059240C" w14:textId="77777777" w:rsidR="00A97A17" w:rsidRDefault="00A97A17" w:rsidP="00A97A17">
      <w:pPr>
        <w:rPr>
          <w:sz w:val="28"/>
          <w:szCs w:val="28"/>
        </w:rPr>
      </w:pPr>
      <w:r>
        <w:rPr>
          <w:sz w:val="28"/>
          <w:szCs w:val="28"/>
        </w:rPr>
        <w:lastRenderedPageBreak/>
        <w:t>Both Morrow and van Hamel found that the fundamental problem was insoluble, as it was based in unchanging identity.  Nonetheless, they both understood that their readers wanted them to give some suggestions for amelioration.  The second half of van Hamel’s article is essentially a repudiation of the first half, as it is a series of tweaks and changes that might make the situation better after finding that people want the situation to be bad.  Still, it is a half-hearted attempt.  He starts the conclusion: “</w:t>
      </w:r>
      <w:r w:rsidRPr="00F025C3">
        <w:rPr>
          <w:sz w:val="28"/>
          <w:szCs w:val="28"/>
        </w:rPr>
        <w:t>Having come to the end of my considerations, there remains one general remark to be made. The whole line of thought, from which the plans and suggestions made here arise, is that of possible good will between Germans and Poles. Is this an illusion, or a practical perspective? It is hard to</w:t>
      </w:r>
      <w:r>
        <w:rPr>
          <w:sz w:val="28"/>
          <w:szCs w:val="28"/>
        </w:rPr>
        <w:t xml:space="preserve"> say.”</w:t>
      </w:r>
      <w:r>
        <w:rPr>
          <w:rStyle w:val="EndnoteReference"/>
          <w:sz w:val="28"/>
          <w:szCs w:val="28"/>
        </w:rPr>
        <w:endnoteReference w:id="55"/>
      </w:r>
      <w:r>
        <w:rPr>
          <w:sz w:val="28"/>
          <w:szCs w:val="28"/>
        </w:rPr>
        <w:t xml:space="preserve">  He goes on to say that things have been getting steadily worse, but hope is not entirely lost.  Morrow also tries to salvage some hope from his bleak analysis which puts racial conflict first, and the best he can do is close with an appeal to the distant past: “Danzig must remember the days when prosperity came to her as a Hansa-neither a German nor a Polish-town.”</w:t>
      </w:r>
      <w:r>
        <w:rPr>
          <w:rStyle w:val="EndnoteReference"/>
          <w:sz w:val="28"/>
          <w:szCs w:val="28"/>
        </w:rPr>
        <w:endnoteReference w:id="56"/>
      </w:r>
      <w:r>
        <w:rPr>
          <w:sz w:val="28"/>
          <w:szCs w:val="28"/>
        </w:rPr>
        <w:t xml:space="preserve">  As the city became part of Prussia in 1793, and Hansa was never a political entity, perhaps that ship had sailed.  Neither author seems to believe that it will get better, but they feel compelled to say that it might.  In fact, it didn’t.</w:t>
      </w:r>
    </w:p>
    <w:p w14:paraId="76C89807" w14:textId="77777777" w:rsidR="00A97A17" w:rsidRDefault="00A97A17" w:rsidP="00A97A17">
      <w:pPr>
        <w:rPr>
          <w:sz w:val="28"/>
          <w:szCs w:val="28"/>
        </w:rPr>
      </w:pPr>
    </w:p>
    <w:p w14:paraId="087D432D" w14:textId="77777777" w:rsidR="00A97A17" w:rsidRPr="006705F6" w:rsidRDefault="00A97A17" w:rsidP="00A97A17">
      <w:pPr>
        <w:rPr>
          <w:b/>
          <w:sz w:val="28"/>
          <w:szCs w:val="28"/>
        </w:rPr>
      </w:pPr>
      <w:r>
        <w:rPr>
          <w:b/>
          <w:sz w:val="28"/>
          <w:szCs w:val="28"/>
        </w:rPr>
        <w:t>Internationalization Under the UN</w:t>
      </w:r>
    </w:p>
    <w:p w14:paraId="4886D629" w14:textId="77777777" w:rsidR="00A97A17" w:rsidRDefault="00A97A17" w:rsidP="00A97A17">
      <w:pPr>
        <w:rPr>
          <w:sz w:val="28"/>
          <w:szCs w:val="28"/>
        </w:rPr>
      </w:pPr>
    </w:p>
    <w:p w14:paraId="77D2C14D" w14:textId="77777777" w:rsidR="00A97A17" w:rsidRDefault="00A97A17" w:rsidP="00A97A17">
      <w:pPr>
        <w:rPr>
          <w:sz w:val="28"/>
          <w:szCs w:val="28"/>
        </w:rPr>
      </w:pPr>
      <w:r>
        <w:rPr>
          <w:sz w:val="28"/>
          <w:szCs w:val="28"/>
        </w:rPr>
        <w:t>At the end of WWII, many of the same questions that had led to their creation of internationalized situations in the inter-war years resurfaced.</w:t>
      </w:r>
      <w:r>
        <w:rPr>
          <w:rStyle w:val="EndnoteReference"/>
          <w:sz w:val="28"/>
          <w:szCs w:val="28"/>
        </w:rPr>
        <w:endnoteReference w:id="57"/>
      </w:r>
      <w:r>
        <w:rPr>
          <w:sz w:val="28"/>
          <w:szCs w:val="28"/>
        </w:rPr>
        <w:t xml:space="preserve">  Various forms of trusteeship replaced mandates, though there were fewer of them and there was clearer intent to make them independent states more quickly.  Many of the lessons of the LN experiences had been learned, and the approaches were different.  First, international law as a structure for solutions to political problems fell out of favor; power politics replaced it.</w:t>
      </w:r>
      <w:r>
        <w:rPr>
          <w:rStyle w:val="EndnoteReference"/>
          <w:sz w:val="28"/>
          <w:szCs w:val="28"/>
        </w:rPr>
        <w:endnoteReference w:id="58"/>
      </w:r>
      <w:r>
        <w:rPr>
          <w:sz w:val="28"/>
          <w:szCs w:val="28"/>
        </w:rPr>
        <w:t xml:space="preserve">  Ambiguity was suspect as well, particularly in matters of sovereignty.  Last, international control wasn’t </w:t>
      </w:r>
      <w:proofErr w:type="gramStart"/>
      <w:r>
        <w:rPr>
          <w:sz w:val="28"/>
          <w:szCs w:val="28"/>
        </w:rPr>
        <w:t>trusted</w:t>
      </w:r>
      <w:proofErr w:type="gramEnd"/>
      <w:r>
        <w:rPr>
          <w:sz w:val="28"/>
          <w:szCs w:val="28"/>
        </w:rPr>
        <w:t xml:space="preserve"> and clear national lines were preferred.  We can see these changes manifest in the approaches to various problems after the war.  </w:t>
      </w:r>
    </w:p>
    <w:p w14:paraId="6B4EA214" w14:textId="77777777" w:rsidR="00A97A17" w:rsidRDefault="00A97A17" w:rsidP="00A97A17">
      <w:pPr>
        <w:rPr>
          <w:sz w:val="28"/>
          <w:szCs w:val="28"/>
        </w:rPr>
      </w:pPr>
    </w:p>
    <w:p w14:paraId="42ACC3E4" w14:textId="77777777" w:rsidR="00A97A17" w:rsidRDefault="00A97A17" w:rsidP="00A97A17">
      <w:pPr>
        <w:rPr>
          <w:sz w:val="28"/>
          <w:szCs w:val="28"/>
        </w:rPr>
      </w:pPr>
      <w:r>
        <w:rPr>
          <w:sz w:val="28"/>
          <w:szCs w:val="28"/>
        </w:rPr>
        <w:t>The Saar was back in limbo after WWII.</w:t>
      </w:r>
      <w:r>
        <w:rPr>
          <w:rStyle w:val="EndnoteReference"/>
          <w:sz w:val="28"/>
          <w:szCs w:val="28"/>
        </w:rPr>
        <w:endnoteReference w:id="59"/>
      </w:r>
      <w:r>
        <w:rPr>
          <w:sz w:val="28"/>
          <w:szCs w:val="28"/>
        </w:rPr>
        <w:t xml:space="preserve">  Again detached from Germany, it was handed over to France to administer, in this case without international oversight.  Some of this has to do with the fact that the UN wasn’t empowered to operate in Germany, but France seems to have been given the area without any direction by the Big Four or any other forum of the international community.</w:t>
      </w:r>
      <w:r>
        <w:rPr>
          <w:rStyle w:val="EndnoteReference"/>
          <w:sz w:val="28"/>
          <w:szCs w:val="28"/>
        </w:rPr>
        <w:endnoteReference w:id="60"/>
      </w:r>
      <w:r>
        <w:rPr>
          <w:sz w:val="28"/>
          <w:szCs w:val="28"/>
        </w:rPr>
        <w:t xml:space="preserve">  All of the </w:t>
      </w:r>
      <w:r>
        <w:rPr>
          <w:sz w:val="28"/>
          <w:szCs w:val="28"/>
        </w:rPr>
        <w:lastRenderedPageBreak/>
        <w:t>administrative, economic, political, and legal changes seem to come unilaterally from France, and there are many of them.</w:t>
      </w:r>
      <w:r>
        <w:rPr>
          <w:rStyle w:val="EndnoteReference"/>
          <w:sz w:val="28"/>
          <w:szCs w:val="28"/>
        </w:rPr>
        <w:endnoteReference w:id="61"/>
      </w:r>
      <w:r>
        <w:rPr>
          <w:sz w:val="28"/>
          <w:szCs w:val="28"/>
        </w:rPr>
        <w:t xml:space="preserve">  France might have wanted the land and resources, but it understood nationalism, and didn’t want Germans to be French citizens and so allowed the situation to be ambiguous, never demanding sovereignty.</w:t>
      </w:r>
      <w:r>
        <w:rPr>
          <w:rStyle w:val="EndnoteReference"/>
          <w:sz w:val="28"/>
          <w:szCs w:val="28"/>
        </w:rPr>
        <w:endnoteReference w:id="62"/>
      </w:r>
      <w:r>
        <w:rPr>
          <w:sz w:val="28"/>
          <w:szCs w:val="28"/>
        </w:rPr>
        <w:t xml:space="preserve">   In the end, a 1954 referendum affirmed that the population wanted to return to Germany, and in 1957 it did.  By then the European Coal and Steel Community existed, which would have given France some security of supplies.  The international community was never involved in the French occupation and seems not to have been interested in the problem.  It had involved itself before, and the post-WWII occupation was far less contentious than that overseen by the LN. </w:t>
      </w:r>
    </w:p>
    <w:p w14:paraId="78E3C795" w14:textId="77777777" w:rsidR="00A97A17" w:rsidRDefault="00A97A17" w:rsidP="00A97A17">
      <w:pPr>
        <w:rPr>
          <w:sz w:val="28"/>
          <w:szCs w:val="28"/>
        </w:rPr>
      </w:pPr>
    </w:p>
    <w:p w14:paraId="556CA374" w14:textId="77777777" w:rsidR="00A97A17" w:rsidRPr="00810350" w:rsidRDefault="00A97A17" w:rsidP="00A97A17">
      <w:pPr>
        <w:rPr>
          <w:sz w:val="28"/>
          <w:szCs w:val="28"/>
        </w:rPr>
      </w:pPr>
      <w:r>
        <w:rPr>
          <w:b/>
          <w:sz w:val="28"/>
          <w:szCs w:val="28"/>
        </w:rPr>
        <w:t>Trieste</w:t>
      </w:r>
    </w:p>
    <w:p w14:paraId="43C76A96" w14:textId="77777777" w:rsidR="00A97A17" w:rsidRDefault="00A97A17" w:rsidP="00A97A17">
      <w:pPr>
        <w:rPr>
          <w:sz w:val="28"/>
          <w:szCs w:val="28"/>
        </w:rPr>
      </w:pPr>
    </w:p>
    <w:p w14:paraId="5450E757" w14:textId="77777777" w:rsidR="00A97A17" w:rsidRDefault="00A97A17" w:rsidP="00A97A17">
      <w:pPr>
        <w:rPr>
          <w:sz w:val="28"/>
          <w:szCs w:val="28"/>
        </w:rPr>
      </w:pPr>
      <w:r>
        <w:rPr>
          <w:sz w:val="28"/>
          <w:szCs w:val="28"/>
        </w:rPr>
        <w:t>Trieste,</w:t>
      </w:r>
      <w:r>
        <w:rPr>
          <w:rStyle w:val="EndnoteReference"/>
          <w:sz w:val="28"/>
          <w:szCs w:val="28"/>
        </w:rPr>
        <w:endnoteReference w:id="63"/>
      </w:r>
      <w:r>
        <w:rPr>
          <w:sz w:val="28"/>
          <w:szCs w:val="28"/>
        </w:rPr>
        <w:t xml:space="preserve"> in the north-east corner of Italy, on the Yugoslav border, almost became an international area.  It was an object of contention between the two </w:t>
      </w:r>
      <w:proofErr w:type="gramStart"/>
      <w:r>
        <w:rPr>
          <w:sz w:val="28"/>
          <w:szCs w:val="28"/>
        </w:rPr>
        <w:t>nations, and</w:t>
      </w:r>
      <w:proofErr w:type="gramEnd"/>
      <w:r>
        <w:rPr>
          <w:sz w:val="28"/>
          <w:szCs w:val="28"/>
        </w:rPr>
        <w:t xml:space="preserve"> given to the Italians at the end of WWI.  The Yugoslavs, of course, didn’t forget this, and sought to gain it back after WWII, assisted by their patron, the USSR.   Yugoslav and UK forces occupied the area at the end of the war, and as the Cold War developed, tensions between the apparent allies became obvious.  In 1945 zones of occupation were agreed to in order to separate the forces and they created relatively homogenous ethnic areas; expulsions made them much more so.  The Yugoslavs felt they were defending home territory and righting past wrongs.  The occupying US and UK forces didn’t know why they were there and wanted to go home.  It didn’t help that they were defending Italy, recently a mortal enemy, against Yugoslavia, officially an ally.  The period of apparent joint rule was one of chaos, as the zones of occupations were breeched again and again.  The Yugoslavs, knowing that there was a conference coming where decisions would be made, jockeyed for position as best they could.  This was another case where ambiguity and the potential for change fostered greater conflict. </w:t>
      </w:r>
    </w:p>
    <w:p w14:paraId="3EC7CF32" w14:textId="77777777" w:rsidR="00A97A17" w:rsidRDefault="00A97A17" w:rsidP="00A97A17">
      <w:pPr>
        <w:rPr>
          <w:sz w:val="28"/>
          <w:szCs w:val="28"/>
        </w:rPr>
      </w:pPr>
    </w:p>
    <w:p w14:paraId="12647BCC" w14:textId="77777777" w:rsidR="00A97A17" w:rsidRDefault="00A97A17" w:rsidP="00A97A17">
      <w:pPr>
        <w:rPr>
          <w:sz w:val="28"/>
          <w:szCs w:val="28"/>
        </w:rPr>
      </w:pPr>
      <w:r>
        <w:rPr>
          <w:sz w:val="28"/>
          <w:szCs w:val="28"/>
        </w:rPr>
        <w:t xml:space="preserve">The problems came to some sort of solution in </w:t>
      </w:r>
      <w:proofErr w:type="gramStart"/>
      <w:r>
        <w:rPr>
          <w:sz w:val="28"/>
          <w:szCs w:val="28"/>
        </w:rPr>
        <w:t>Feb,</w:t>
      </w:r>
      <w:proofErr w:type="gramEnd"/>
      <w:r>
        <w:rPr>
          <w:sz w:val="28"/>
          <w:szCs w:val="28"/>
        </w:rPr>
        <w:t xml:space="preserve"> 1947 with the declaration of the Free Territory of Trieste.  This was created in the context of the peace treaty ending the state of war with Italy.  It is classic Treaty of Paris, 1919: the victorious powers disagree, and so they postpone the conflict by putting it in suspension with the trick of internationalization.  The Statute that defined the governance of </w:t>
      </w:r>
      <w:r>
        <w:rPr>
          <w:sz w:val="28"/>
          <w:szCs w:val="28"/>
        </w:rPr>
        <w:lastRenderedPageBreak/>
        <w:t>the Territory gave the UN Security Council the responsibility to appoint the governor.  However, as a result of Cold War disagreements, no governor was ever appointed.  The Territory existed on paper only; on the ground, the division delineated in 1945 hardened into a border, which was recognized in 1954, when the two zones were given to their respective nations.</w:t>
      </w:r>
      <w:r>
        <w:rPr>
          <w:rStyle w:val="EndnoteReference"/>
          <w:sz w:val="28"/>
          <w:szCs w:val="28"/>
        </w:rPr>
        <w:endnoteReference w:id="64"/>
      </w:r>
      <w:r>
        <w:rPr>
          <w:sz w:val="28"/>
          <w:szCs w:val="28"/>
        </w:rPr>
        <w:t xml:space="preserve">   The international community had created a possible solution, but nothing was ever done to enforce or even manifest it.  The occupying powers never seemed to acknowledge the possibility of internationalization, and each worked to integrate their zones into the nations that absorbed them in 1954.  If only the US and USSR, the most important members of the UN, had indicated to it that they were against internationalization, the UN could have been saved the time and trouble of the charade. </w:t>
      </w:r>
    </w:p>
    <w:p w14:paraId="33EDF14A" w14:textId="77777777" w:rsidR="00A97A17" w:rsidRDefault="00A97A17" w:rsidP="00A97A17">
      <w:pPr>
        <w:rPr>
          <w:sz w:val="28"/>
          <w:szCs w:val="28"/>
        </w:rPr>
      </w:pPr>
    </w:p>
    <w:p w14:paraId="4A4E75DB" w14:textId="77777777" w:rsidR="00A97A17" w:rsidRDefault="00A97A17" w:rsidP="00A97A17">
      <w:pPr>
        <w:rPr>
          <w:sz w:val="28"/>
          <w:szCs w:val="28"/>
        </w:rPr>
      </w:pPr>
      <w:r>
        <w:rPr>
          <w:sz w:val="28"/>
          <w:szCs w:val="28"/>
        </w:rPr>
        <w:t xml:space="preserve">It was doubtless a good thing that it remained on paper only, as there seemed to be no one who thought it a good idea, either for Trieste or for the UN.  </w:t>
      </w:r>
      <w:proofErr w:type="spellStart"/>
      <w:r>
        <w:rPr>
          <w:sz w:val="28"/>
          <w:szCs w:val="28"/>
        </w:rPr>
        <w:t>Lovitt</w:t>
      </w:r>
      <w:proofErr w:type="spellEnd"/>
      <w:r>
        <w:rPr>
          <w:sz w:val="28"/>
          <w:szCs w:val="28"/>
        </w:rPr>
        <w:t xml:space="preserve"> opens his article with </w:t>
      </w:r>
      <w:r w:rsidRPr="00CE4DF7">
        <w:rPr>
          <w:sz w:val="28"/>
          <w:szCs w:val="28"/>
        </w:rPr>
        <w:t>“‘The Free Territory of Trieste</w:t>
      </w:r>
      <w:r>
        <w:rPr>
          <w:sz w:val="28"/>
          <w:szCs w:val="28"/>
        </w:rPr>
        <w:t>’</w:t>
      </w:r>
      <w:r w:rsidRPr="00CE4DF7">
        <w:rPr>
          <w:sz w:val="28"/>
          <w:szCs w:val="28"/>
        </w:rPr>
        <w:t>, established by the Italian peace treaty, is the first experiment of the United Nations in actual government and almost all of the conditions of the experiment are adverse.”</w:t>
      </w:r>
      <w:r>
        <w:rPr>
          <w:sz w:val="28"/>
          <w:szCs w:val="28"/>
        </w:rPr>
        <w:t xml:space="preserve">  In the middle he offers </w:t>
      </w:r>
      <w:r w:rsidRPr="00CE4DF7">
        <w:rPr>
          <w:sz w:val="28"/>
          <w:szCs w:val="28"/>
        </w:rPr>
        <w:t>“Even the form of government established by the treaty seems to invite friction.”</w:t>
      </w:r>
      <w:r>
        <w:rPr>
          <w:sz w:val="28"/>
          <w:szCs w:val="28"/>
        </w:rPr>
        <w:t xml:space="preserve"> He closes </w:t>
      </w:r>
      <w:r w:rsidRPr="00CE4DF7">
        <w:rPr>
          <w:sz w:val="28"/>
          <w:szCs w:val="28"/>
        </w:rPr>
        <w:t>“All factors considered, however, those who support an expanding United Nations could wish for better conditions for its first experiment in government.”</w:t>
      </w:r>
      <w:r>
        <w:rPr>
          <w:rStyle w:val="EndnoteReference"/>
          <w:sz w:val="28"/>
          <w:szCs w:val="28"/>
        </w:rPr>
        <w:endnoteReference w:id="65"/>
      </w:r>
      <w:r>
        <w:rPr>
          <w:sz w:val="28"/>
          <w:szCs w:val="28"/>
        </w:rPr>
        <w:t xml:space="preserve">  King and O’Brian try to write history without much judgement but after the long list of conflicts they close with “…[both sides’ unwillingness to compromise] would seem to guarantee that turbulent Trieste is to continue its role as one of the world’s trouble spots.”</w:t>
      </w:r>
      <w:r>
        <w:rPr>
          <w:rStyle w:val="EndnoteReference"/>
          <w:sz w:val="28"/>
          <w:szCs w:val="28"/>
        </w:rPr>
        <w:endnoteReference w:id="66"/>
      </w:r>
      <w:r>
        <w:rPr>
          <w:sz w:val="28"/>
          <w:szCs w:val="28"/>
        </w:rPr>
        <w:t xml:space="preserve">  Kunz is no more optimistic; his opening line is </w:t>
      </w:r>
      <w:r w:rsidRPr="00EF320E">
        <w:rPr>
          <w:sz w:val="28"/>
          <w:szCs w:val="28"/>
        </w:rPr>
        <w:t>“The creation of the Free Territory of Trieste is a typical political compromise arrangement and the success of this creation is, to say the least, highly doubtful.</w:t>
      </w:r>
      <w:r>
        <w:rPr>
          <w:sz w:val="28"/>
          <w:szCs w:val="28"/>
        </w:rPr>
        <w:t>”</w:t>
      </w:r>
      <w:r>
        <w:rPr>
          <w:rStyle w:val="EndnoteReference"/>
          <w:sz w:val="28"/>
          <w:szCs w:val="28"/>
        </w:rPr>
        <w:endnoteReference w:id="67"/>
      </w:r>
      <w:r>
        <w:rPr>
          <w:sz w:val="28"/>
          <w:szCs w:val="28"/>
        </w:rPr>
        <w:t xml:space="preserve">  Later on the page, he compares it to Danzig, also not hopeful.  Other comparisons make it clear that Trieste is like no other international entity.</w:t>
      </w:r>
      <w:r>
        <w:rPr>
          <w:rStyle w:val="EndnoteReference"/>
          <w:sz w:val="28"/>
          <w:szCs w:val="28"/>
        </w:rPr>
        <w:endnoteReference w:id="68"/>
      </w:r>
      <w:r>
        <w:rPr>
          <w:sz w:val="28"/>
          <w:szCs w:val="28"/>
        </w:rPr>
        <w:t xml:space="preserve">  He begins the conclusion with this: </w:t>
      </w:r>
      <w:r w:rsidRPr="006310FB">
        <w:rPr>
          <w:sz w:val="28"/>
          <w:szCs w:val="28"/>
        </w:rPr>
        <w:t>“The creation of the Free Territory must probably be considered a failure.</w:t>
      </w:r>
      <w:r>
        <w:rPr>
          <w:sz w:val="28"/>
          <w:szCs w:val="28"/>
        </w:rPr>
        <w:t>”</w:t>
      </w:r>
      <w:r>
        <w:rPr>
          <w:rStyle w:val="EndnoteReference"/>
          <w:sz w:val="28"/>
          <w:szCs w:val="28"/>
        </w:rPr>
        <w:endnoteReference w:id="69"/>
      </w:r>
      <w:r>
        <w:rPr>
          <w:sz w:val="28"/>
          <w:szCs w:val="28"/>
        </w:rPr>
        <w:t xml:space="preserve">  Schuller mainly writes about trade and makes the usual assumption that nations that trade don’t make war on one another, which allows him some optimism.  That said, his understanding of the future is bleak: </w:t>
      </w:r>
    </w:p>
    <w:p w14:paraId="3F0C2175" w14:textId="77777777" w:rsidR="00A97A17" w:rsidRDefault="00A97A17" w:rsidP="00A97A17">
      <w:pPr>
        <w:ind w:left="720"/>
        <w:rPr>
          <w:sz w:val="28"/>
          <w:szCs w:val="28"/>
        </w:rPr>
      </w:pPr>
      <w:r w:rsidRPr="00873810">
        <w:rPr>
          <w:sz w:val="28"/>
          <w:szCs w:val="28"/>
        </w:rPr>
        <w:t xml:space="preserve">But let us consider the fate of Trieste itself.  Each of the town's two ethnic groups will seek the help and intervention of its own people outside the International Territory, and it will be difficult for the Security Council and </w:t>
      </w:r>
      <w:r w:rsidRPr="00873810">
        <w:rPr>
          <w:sz w:val="28"/>
          <w:szCs w:val="28"/>
        </w:rPr>
        <w:lastRenderedPageBreak/>
        <w:t>the governor</w:t>
      </w:r>
      <w:r>
        <w:rPr>
          <w:sz w:val="28"/>
          <w:szCs w:val="28"/>
        </w:rPr>
        <w:t xml:space="preserve"> </w:t>
      </w:r>
      <w:r w:rsidRPr="00873810">
        <w:rPr>
          <w:sz w:val="28"/>
          <w:szCs w:val="28"/>
        </w:rPr>
        <w:t>to arbitrate and to prevent the internal struggle from becoming an international one. Obviously</w:t>
      </w:r>
      <w:r>
        <w:rPr>
          <w:sz w:val="28"/>
          <w:szCs w:val="28"/>
        </w:rPr>
        <w:t>,</w:t>
      </w:r>
      <w:r w:rsidRPr="00873810">
        <w:rPr>
          <w:sz w:val="28"/>
          <w:szCs w:val="28"/>
        </w:rPr>
        <w:t xml:space="preserve"> this situation can be avoided only if the Western powers and Russia cooperate, or at least steer clear of major conflicts.  </w:t>
      </w:r>
      <w:proofErr w:type="gramStart"/>
      <w:r w:rsidRPr="00873810">
        <w:rPr>
          <w:sz w:val="28"/>
          <w:szCs w:val="28"/>
        </w:rPr>
        <w:t>Otherwise</w:t>
      </w:r>
      <w:proofErr w:type="gramEnd"/>
      <w:r w:rsidRPr="00873810">
        <w:rPr>
          <w:sz w:val="28"/>
          <w:szCs w:val="28"/>
        </w:rPr>
        <w:t xml:space="preserve"> Trieste is bound to become the battleground for two blocs and two systems.</w:t>
      </w:r>
      <w:r>
        <w:rPr>
          <w:rStyle w:val="EndnoteReference"/>
          <w:sz w:val="28"/>
          <w:szCs w:val="28"/>
        </w:rPr>
        <w:endnoteReference w:id="70"/>
      </w:r>
    </w:p>
    <w:p w14:paraId="4F6C699C" w14:textId="77777777" w:rsidR="00A97A17" w:rsidRDefault="00A97A17" w:rsidP="00A97A17">
      <w:pPr>
        <w:ind w:left="720"/>
        <w:rPr>
          <w:sz w:val="28"/>
          <w:szCs w:val="28"/>
        </w:rPr>
      </w:pPr>
    </w:p>
    <w:p w14:paraId="0D1C52ED" w14:textId="77777777" w:rsidR="00A97A17" w:rsidRDefault="00A97A17" w:rsidP="00A97A17">
      <w:pPr>
        <w:rPr>
          <w:sz w:val="28"/>
          <w:szCs w:val="28"/>
        </w:rPr>
      </w:pPr>
      <w:r>
        <w:rPr>
          <w:sz w:val="28"/>
          <w:szCs w:val="28"/>
        </w:rPr>
        <w:t xml:space="preserve">This description might apply to Memel and Danzig as </w:t>
      </w:r>
      <w:proofErr w:type="gramStart"/>
      <w:r>
        <w:rPr>
          <w:sz w:val="28"/>
          <w:szCs w:val="28"/>
        </w:rPr>
        <w:t>well, and</w:t>
      </w:r>
      <w:proofErr w:type="gramEnd"/>
      <w:r>
        <w:rPr>
          <w:sz w:val="28"/>
          <w:szCs w:val="28"/>
        </w:rPr>
        <w:t xml:space="preserve"> was probably formed by those experiments.  If these were the judgments of people who understood the situation, we can be pleased that the planned internationalization never came to pass.  </w:t>
      </w:r>
    </w:p>
    <w:p w14:paraId="12A60BFE" w14:textId="77777777" w:rsidR="00A97A17" w:rsidRDefault="00A97A17" w:rsidP="00A97A17">
      <w:pPr>
        <w:rPr>
          <w:sz w:val="28"/>
          <w:szCs w:val="28"/>
        </w:rPr>
      </w:pPr>
    </w:p>
    <w:p w14:paraId="0726C41A" w14:textId="77777777" w:rsidR="00A97A17" w:rsidRDefault="00A97A17" w:rsidP="00A97A17">
      <w:pPr>
        <w:rPr>
          <w:sz w:val="28"/>
          <w:szCs w:val="28"/>
        </w:rPr>
      </w:pPr>
      <w:r>
        <w:rPr>
          <w:sz w:val="28"/>
          <w:szCs w:val="28"/>
        </w:rPr>
        <w:t xml:space="preserve">While some ambiguity was allowed, internationalization wasn’t used much in the post-WWII era.  Some have pointed to Berlin and Vienna as internationalized cities, but they weren’t.  These were cities under multiple </w:t>
      </w:r>
      <w:proofErr w:type="gramStart"/>
      <w:r>
        <w:rPr>
          <w:sz w:val="28"/>
          <w:szCs w:val="28"/>
        </w:rPr>
        <w:t>occupations, and</w:t>
      </w:r>
      <w:proofErr w:type="gramEnd"/>
      <w:r>
        <w:rPr>
          <w:sz w:val="28"/>
          <w:szCs w:val="28"/>
        </w:rPr>
        <w:t xml:space="preserve"> followed the usual rules of belligerent occupation; there was no involvement by the international community.</w:t>
      </w:r>
    </w:p>
    <w:p w14:paraId="753DCF17" w14:textId="77777777" w:rsidR="00A97A17" w:rsidRDefault="00A97A17" w:rsidP="00A97A17">
      <w:pPr>
        <w:rPr>
          <w:sz w:val="28"/>
          <w:szCs w:val="28"/>
        </w:rPr>
      </w:pPr>
    </w:p>
    <w:p w14:paraId="5F3EA7A7" w14:textId="77777777" w:rsidR="00A97A17" w:rsidRDefault="00A97A17" w:rsidP="00A97A17">
      <w:pPr>
        <w:rPr>
          <w:sz w:val="28"/>
          <w:szCs w:val="28"/>
        </w:rPr>
      </w:pPr>
      <w:r>
        <w:rPr>
          <w:sz w:val="28"/>
          <w:szCs w:val="28"/>
        </w:rPr>
        <w:t>Some general conclusions can be drawn.  In the inter-war period, the three variously internationalized areas were cases where ethnically homogenous communities were given over to the rule or protection of a different nation-state.  The principal of self-determination was sacrificed in each case for the economic betterment of another state.  All these allowed appeal of decisions to the Council of the LN and PICJ, and this was used by the communities to internationalize the conflicts as often as possible.  Nations were accorded rights in international law, in some cases equaling the rights of states;</w:t>
      </w:r>
      <w:r>
        <w:rPr>
          <w:rStyle w:val="EndnoteReference"/>
          <w:sz w:val="28"/>
          <w:szCs w:val="28"/>
        </w:rPr>
        <w:endnoteReference w:id="71"/>
      </w:r>
      <w:r>
        <w:rPr>
          <w:sz w:val="28"/>
          <w:szCs w:val="28"/>
        </w:rPr>
        <w:t xml:space="preserve"> the League’s minority rights regime was a primary vehicle for this.  This meant that minorities were represented by their nation-state in the international arena, and this was a lever to create greater conflict.</w:t>
      </w:r>
      <w:r>
        <w:rPr>
          <w:rStyle w:val="EndnoteReference"/>
          <w:sz w:val="28"/>
          <w:szCs w:val="28"/>
        </w:rPr>
        <w:endnoteReference w:id="72"/>
      </w:r>
      <w:r>
        <w:rPr>
          <w:sz w:val="28"/>
          <w:szCs w:val="28"/>
        </w:rPr>
        <w:t xml:space="preserve">   As oppressed minorities, the communities were responsive to nationalist calls; Memel and Danzig both had Nazi-controlled legislatures before 1933 and Nazi influence in the Saar was also strong.   The combination of aggressive nationalism and the sense of themselves as victims of the international community made it easy to mobilize their communities, which made the situations continually unstable.  </w:t>
      </w:r>
    </w:p>
    <w:p w14:paraId="01B2AD14" w14:textId="77777777" w:rsidR="00A97A17" w:rsidRDefault="00A97A17" w:rsidP="00A97A17">
      <w:pPr>
        <w:rPr>
          <w:sz w:val="28"/>
          <w:szCs w:val="28"/>
        </w:rPr>
      </w:pPr>
    </w:p>
    <w:p w14:paraId="3EA691F6" w14:textId="77777777" w:rsidR="00A97A17" w:rsidRDefault="00A97A17" w:rsidP="00A97A17">
      <w:pPr>
        <w:rPr>
          <w:sz w:val="28"/>
          <w:szCs w:val="28"/>
        </w:rPr>
      </w:pPr>
      <w:r>
        <w:rPr>
          <w:sz w:val="28"/>
          <w:szCs w:val="28"/>
        </w:rPr>
        <w:t xml:space="preserve">After the war, lessons were learned.  Nations lost all standing in international law, and only states had standing.  Forcible expulsions of minorities brought the human and political geographies of Europe closer in line, so self-determination </w:t>
      </w:r>
      <w:r>
        <w:rPr>
          <w:sz w:val="28"/>
          <w:szCs w:val="28"/>
        </w:rPr>
        <w:lastRenderedPageBreak/>
        <w:t>became simpler.</w:t>
      </w:r>
      <w:r>
        <w:rPr>
          <w:rStyle w:val="EndnoteReference"/>
          <w:sz w:val="28"/>
          <w:szCs w:val="28"/>
        </w:rPr>
        <w:endnoteReference w:id="73"/>
      </w:r>
      <w:r>
        <w:rPr>
          <w:sz w:val="28"/>
          <w:szCs w:val="28"/>
        </w:rPr>
        <w:t xml:space="preserve">  France was given the Saar to do with as it saw fit; once it was clear that Trieste wouldn’t be internationalized, the notion was dropped, sovereignty made clear, and the proposal was not reaffirmed.  As the world settled into the Cold War, each side demanded clear control of its own side, without interference from the international community.  The UN itself was largely paralyzed by the veto crisis and little was done there, nor was much expected.   Internationalization had been </w:t>
      </w:r>
      <w:proofErr w:type="gramStart"/>
      <w:r>
        <w:rPr>
          <w:sz w:val="28"/>
          <w:szCs w:val="28"/>
        </w:rPr>
        <w:t>tried, and</w:t>
      </w:r>
      <w:proofErr w:type="gramEnd"/>
      <w:r>
        <w:rPr>
          <w:sz w:val="28"/>
          <w:szCs w:val="28"/>
        </w:rPr>
        <w:t xml:space="preserve"> found very wanting.</w:t>
      </w:r>
    </w:p>
    <w:p w14:paraId="173A5EF7" w14:textId="77777777" w:rsidR="00A97A17" w:rsidRDefault="00A97A17" w:rsidP="00A97A17">
      <w:pPr>
        <w:rPr>
          <w:sz w:val="28"/>
          <w:szCs w:val="28"/>
        </w:rPr>
      </w:pPr>
    </w:p>
    <w:p w14:paraId="3559F6FC" w14:textId="77777777" w:rsidR="00A97A17" w:rsidRDefault="00A97A17" w:rsidP="00A97A17">
      <w:pPr>
        <w:rPr>
          <w:sz w:val="28"/>
          <w:szCs w:val="28"/>
        </w:rPr>
      </w:pPr>
      <w:r>
        <w:rPr>
          <w:sz w:val="28"/>
          <w:szCs w:val="28"/>
        </w:rPr>
        <w:t>Few people ever thought that internationalization of anything could work, except in theory.  Hall tells us it was largely rejected at the Paris Peace Conference of 1919 in favor of mandates administered by states.  The comment from Paris that he offers is from Lord Balfour: “Everybody quarrels, and nothing is done.”  Later, in the same context is “But the League (at least until it was more consolidated and experienced) would have to act, he [Smuts] thought, through a national mandatory; since direct international territorial administration had been shown by past experience to be ‘paralysis tempered by intrigue.’”</w:t>
      </w:r>
      <w:r>
        <w:rPr>
          <w:rStyle w:val="EndnoteReference"/>
          <w:sz w:val="28"/>
          <w:szCs w:val="28"/>
        </w:rPr>
        <w:endnoteReference w:id="74"/>
      </w:r>
      <w:r>
        <w:rPr>
          <w:sz w:val="28"/>
          <w:szCs w:val="28"/>
        </w:rPr>
        <w:t xml:space="preserve">  Van Hamel considers the possibility of greater internationalization as a solution to the problems in Danzig and rejects the notion.</w:t>
      </w:r>
      <w:r>
        <w:rPr>
          <w:rStyle w:val="EndnoteReference"/>
          <w:sz w:val="28"/>
          <w:szCs w:val="28"/>
        </w:rPr>
        <w:endnoteReference w:id="75"/>
      </w:r>
      <w:r>
        <w:rPr>
          <w:sz w:val="28"/>
          <w:szCs w:val="28"/>
        </w:rPr>
        <w:t xml:space="preserve">  Mason promises to judge whether Danzig is a good model for like situations, but then fails to come through on this.</w:t>
      </w:r>
      <w:r>
        <w:rPr>
          <w:rStyle w:val="EndnoteReference"/>
          <w:sz w:val="28"/>
          <w:szCs w:val="28"/>
        </w:rPr>
        <w:endnoteReference w:id="76"/>
      </w:r>
      <w:r>
        <w:rPr>
          <w:sz w:val="28"/>
          <w:szCs w:val="28"/>
        </w:rPr>
        <w:t xml:space="preserve">  The one author who does recommend internationalization is </w:t>
      </w:r>
      <w:proofErr w:type="spellStart"/>
      <w:r>
        <w:rPr>
          <w:sz w:val="28"/>
          <w:szCs w:val="28"/>
        </w:rPr>
        <w:t>Wambaugh</w:t>
      </w:r>
      <w:proofErr w:type="spellEnd"/>
      <w:r>
        <w:rPr>
          <w:sz w:val="28"/>
          <w:szCs w:val="28"/>
        </w:rPr>
        <w:t>, and she is clearly for it.  The key to her belief in internationalization, however, is her fury about the war.  She advocates separating Danzig, East Prussia, the Rhineland, the Ruhr and the Saar permanently from Germany with no possibility of return in order to protect world peace.  Not knowing what else to do with them and understanding that their populations would not assimilate to other nations, she is left with only that tool.  Her aim is not international rule, but a weak and small Germany that cannot make another war, and she sees that it will have a larger population, given that she also advocates mass forced migration.  She was writing before Potsdam and so didn’t know that the problem would be settled differently.  For the most part, there was consensus at the time that international rule wasn’t desirable or workable.</w:t>
      </w:r>
      <w:r>
        <w:rPr>
          <w:rStyle w:val="EndnoteReference"/>
          <w:sz w:val="28"/>
          <w:szCs w:val="28"/>
        </w:rPr>
        <w:endnoteReference w:id="77"/>
      </w:r>
      <w:r>
        <w:rPr>
          <w:sz w:val="28"/>
          <w:szCs w:val="28"/>
        </w:rPr>
        <w:t xml:space="preserve"> </w:t>
      </w:r>
    </w:p>
    <w:p w14:paraId="5764DF70" w14:textId="77777777" w:rsidR="00A97A17" w:rsidRDefault="00A97A17" w:rsidP="00A97A17">
      <w:pPr>
        <w:rPr>
          <w:sz w:val="28"/>
          <w:szCs w:val="28"/>
        </w:rPr>
      </w:pPr>
    </w:p>
    <w:p w14:paraId="53DCA6E0" w14:textId="77777777" w:rsidR="00A97A17" w:rsidRDefault="00A97A17" w:rsidP="00A97A17">
      <w:pPr>
        <w:rPr>
          <w:sz w:val="28"/>
          <w:szCs w:val="28"/>
        </w:rPr>
      </w:pPr>
    </w:p>
    <w:p w14:paraId="52FABB63" w14:textId="77777777" w:rsidR="00A97A17" w:rsidRDefault="00A97A17" w:rsidP="00A97A17">
      <w:pPr>
        <w:rPr>
          <w:b/>
          <w:sz w:val="28"/>
          <w:szCs w:val="28"/>
        </w:rPr>
      </w:pPr>
      <w:r>
        <w:rPr>
          <w:b/>
          <w:sz w:val="28"/>
          <w:szCs w:val="28"/>
        </w:rPr>
        <w:t>When all else fails, try internationalization</w:t>
      </w:r>
    </w:p>
    <w:p w14:paraId="77F3A0E6" w14:textId="77777777" w:rsidR="00A97A17" w:rsidRDefault="00A97A17" w:rsidP="00A97A17">
      <w:pPr>
        <w:rPr>
          <w:b/>
          <w:sz w:val="28"/>
          <w:szCs w:val="28"/>
        </w:rPr>
      </w:pPr>
    </w:p>
    <w:p w14:paraId="587092E3" w14:textId="77777777" w:rsidR="00A97A17" w:rsidRDefault="00A97A17" w:rsidP="00A97A17">
      <w:pPr>
        <w:rPr>
          <w:sz w:val="28"/>
          <w:szCs w:val="28"/>
        </w:rPr>
      </w:pPr>
      <w:r>
        <w:rPr>
          <w:sz w:val="28"/>
          <w:szCs w:val="28"/>
        </w:rPr>
        <w:t>That Jerusalem has been the object of conflict isn’t special, most of the globe has been at some point.  Perhaps, Jerusalem more than most.</w:t>
      </w:r>
      <w:r>
        <w:rPr>
          <w:rStyle w:val="EndnoteReference"/>
          <w:sz w:val="28"/>
          <w:szCs w:val="28"/>
        </w:rPr>
        <w:endnoteReference w:id="78"/>
      </w:r>
      <w:r>
        <w:rPr>
          <w:sz w:val="28"/>
          <w:szCs w:val="28"/>
        </w:rPr>
        <w:t xml:space="preserve">  The </w:t>
      </w:r>
      <w:r>
        <w:rPr>
          <w:i/>
          <w:sz w:val="28"/>
          <w:szCs w:val="28"/>
        </w:rPr>
        <w:t xml:space="preserve">status quo </w:t>
      </w:r>
      <w:r>
        <w:rPr>
          <w:sz w:val="28"/>
          <w:szCs w:val="28"/>
        </w:rPr>
        <w:t xml:space="preserve">of </w:t>
      </w:r>
      <w:r>
        <w:rPr>
          <w:sz w:val="28"/>
          <w:szCs w:val="28"/>
        </w:rPr>
        <w:lastRenderedPageBreak/>
        <w:t>1757 that codified uses and controls over Christian holy places between Christian sects was a product of great struggle and politicking.</w:t>
      </w:r>
      <w:r>
        <w:rPr>
          <w:rStyle w:val="EndnoteReference"/>
          <w:sz w:val="28"/>
          <w:szCs w:val="28"/>
        </w:rPr>
        <w:endnoteReference w:id="79"/>
      </w:r>
      <w:r>
        <w:rPr>
          <w:sz w:val="28"/>
          <w:szCs w:val="28"/>
        </w:rPr>
        <w:t xml:space="preserve">  This set the stage for internationalization as a solution throughout the first half of the 20</w:t>
      </w:r>
      <w:r w:rsidRPr="00CA382D">
        <w:rPr>
          <w:sz w:val="28"/>
          <w:szCs w:val="28"/>
          <w:vertAlign w:val="superscript"/>
        </w:rPr>
        <w:t>th</w:t>
      </w:r>
      <w:r>
        <w:rPr>
          <w:sz w:val="28"/>
          <w:szCs w:val="28"/>
        </w:rPr>
        <w:t xml:space="preserve"> century.  The Sykes-Picot Agreement of </w:t>
      </w:r>
      <w:proofErr w:type="gramStart"/>
      <w:r>
        <w:rPr>
          <w:sz w:val="28"/>
          <w:szCs w:val="28"/>
        </w:rPr>
        <w:t>May,</w:t>
      </w:r>
      <w:proofErr w:type="gramEnd"/>
      <w:r>
        <w:rPr>
          <w:sz w:val="28"/>
          <w:szCs w:val="28"/>
        </w:rPr>
        <w:t xml:space="preserve"> 1916 made much of Palestine an international zone, including Jerusalem, but the document was vague on what that might have meant.  The LN mandate granted to the UK was a form of internationalization, but with a clearly designated administering power.  The Peel commission of 1937 partitioned Palestine, but kept a permanent mandate for Jerusalem, which included enough land to link it to the sea.  In 1945, the UK proposed the Borough plan, with a divided city, but UK rule over the city as a whole.</w:t>
      </w:r>
      <w:r>
        <w:rPr>
          <w:rStyle w:val="EndnoteReference"/>
          <w:sz w:val="28"/>
          <w:szCs w:val="28"/>
        </w:rPr>
        <w:endnoteReference w:id="80"/>
      </w:r>
      <w:r>
        <w:rPr>
          <w:sz w:val="28"/>
          <w:szCs w:val="28"/>
        </w:rPr>
        <w:t xml:space="preserve">  In</w:t>
      </w:r>
      <w:r w:rsidRPr="00BA662B">
        <w:rPr>
          <w:sz w:val="28"/>
          <w:szCs w:val="28"/>
        </w:rPr>
        <w:t xml:space="preserve"> 1946, a Provincial Autonomy Plan was drawn up by the UK administration, </w:t>
      </w:r>
      <w:r>
        <w:rPr>
          <w:sz w:val="28"/>
          <w:szCs w:val="28"/>
        </w:rPr>
        <w:t>and while partitioning the rest, it kept the UK mandate in control of Jerusalem.</w:t>
      </w:r>
      <w:r>
        <w:rPr>
          <w:rStyle w:val="EndnoteReference"/>
          <w:sz w:val="28"/>
          <w:szCs w:val="28"/>
        </w:rPr>
        <w:endnoteReference w:id="81"/>
      </w:r>
      <w:r>
        <w:rPr>
          <w:sz w:val="28"/>
          <w:szCs w:val="28"/>
        </w:rPr>
        <w:t xml:space="preserve">   Likewise, the partition plan passed at the UN, Resolution 181, made Jerusalem a </w:t>
      </w:r>
      <w:r>
        <w:rPr>
          <w:i/>
          <w:sz w:val="28"/>
          <w:szCs w:val="28"/>
        </w:rPr>
        <w:t>corpus separatum</w:t>
      </w:r>
      <w:r>
        <w:rPr>
          <w:sz w:val="28"/>
          <w:szCs w:val="28"/>
        </w:rPr>
        <w:t xml:space="preserve"> under international rule without much specificity as to what that might mean.  Years of committee work would attempt to hammer it out, but it </w:t>
      </w:r>
      <w:proofErr w:type="gramStart"/>
      <w:r>
        <w:rPr>
          <w:sz w:val="28"/>
          <w:szCs w:val="28"/>
        </w:rPr>
        <w:t>is  clear</w:t>
      </w:r>
      <w:proofErr w:type="gramEnd"/>
      <w:r>
        <w:rPr>
          <w:sz w:val="28"/>
          <w:szCs w:val="28"/>
        </w:rPr>
        <w:t xml:space="preserve"> that they were attempting something new and innovative.  </w:t>
      </w:r>
    </w:p>
    <w:p w14:paraId="71BFE7B4" w14:textId="77777777" w:rsidR="00A97A17" w:rsidRDefault="00A97A17" w:rsidP="00A97A17">
      <w:pPr>
        <w:rPr>
          <w:sz w:val="28"/>
          <w:szCs w:val="28"/>
        </w:rPr>
      </w:pPr>
    </w:p>
    <w:p w14:paraId="6A28CB0A" w14:textId="77777777" w:rsidR="00A97A17" w:rsidRDefault="00A97A17" w:rsidP="00A97A17">
      <w:pPr>
        <w:rPr>
          <w:sz w:val="28"/>
          <w:szCs w:val="28"/>
        </w:rPr>
      </w:pPr>
      <w:r>
        <w:rPr>
          <w:sz w:val="28"/>
          <w:szCs w:val="28"/>
        </w:rPr>
        <w:t>After the UK took control of Palestine and through the negotiations for the mandate, the Vatican pushed for greater internationalization of the city in a bid to increase its own control there.</w:t>
      </w:r>
      <w:r>
        <w:rPr>
          <w:rStyle w:val="EndnoteReference"/>
          <w:sz w:val="28"/>
          <w:szCs w:val="28"/>
        </w:rPr>
        <w:endnoteReference w:id="82"/>
      </w:r>
      <w:r>
        <w:rPr>
          <w:sz w:val="28"/>
          <w:szCs w:val="28"/>
        </w:rPr>
        <w:t xml:space="preserve">   The Eastern Orthodox Churches were weakened by the Russian Revolution and WWI more generally.  The Vatican was spurred by the possibility of Christian rule after a millennium and concerned by the prospect of new infidel rulers: Jews.</w:t>
      </w:r>
      <w:r>
        <w:rPr>
          <w:rStyle w:val="EndnoteReference"/>
          <w:sz w:val="28"/>
          <w:szCs w:val="28"/>
        </w:rPr>
        <w:endnoteReference w:id="83"/>
      </w:r>
      <w:r>
        <w:rPr>
          <w:sz w:val="28"/>
          <w:szCs w:val="28"/>
        </w:rPr>
        <w:t xml:space="preserve">  Commissions were </w:t>
      </w:r>
      <w:proofErr w:type="gramStart"/>
      <w:r>
        <w:rPr>
          <w:sz w:val="28"/>
          <w:szCs w:val="28"/>
        </w:rPr>
        <w:t>attempted, but</w:t>
      </w:r>
      <w:proofErr w:type="gramEnd"/>
      <w:r>
        <w:rPr>
          <w:sz w:val="28"/>
          <w:szCs w:val="28"/>
        </w:rPr>
        <w:t xml:space="preserve"> foundered on inter-Christian rivalry.   In the end, the High Commissioner himself decided matters about the Holy Places, to the exclusion of the local courts.</w:t>
      </w:r>
      <w:r>
        <w:rPr>
          <w:rStyle w:val="EndnoteReference"/>
          <w:sz w:val="28"/>
          <w:szCs w:val="28"/>
        </w:rPr>
        <w:endnoteReference w:id="84"/>
      </w:r>
      <w:r>
        <w:rPr>
          <w:sz w:val="28"/>
          <w:szCs w:val="28"/>
        </w:rPr>
        <w:t xml:space="preserve">  </w:t>
      </w:r>
    </w:p>
    <w:p w14:paraId="3A023924" w14:textId="77777777" w:rsidR="00A97A17" w:rsidRDefault="00A97A17" w:rsidP="00A97A17">
      <w:pPr>
        <w:rPr>
          <w:sz w:val="28"/>
          <w:szCs w:val="28"/>
        </w:rPr>
      </w:pPr>
    </w:p>
    <w:p w14:paraId="0256F33F" w14:textId="77777777" w:rsidR="00A97A17" w:rsidRDefault="00A97A17" w:rsidP="00A97A17">
      <w:pPr>
        <w:rPr>
          <w:b/>
          <w:sz w:val="28"/>
          <w:szCs w:val="28"/>
        </w:rPr>
      </w:pPr>
      <w:proofErr w:type="gramStart"/>
      <w:r>
        <w:rPr>
          <w:b/>
          <w:sz w:val="28"/>
          <w:szCs w:val="28"/>
        </w:rPr>
        <w:t>So</w:t>
      </w:r>
      <w:proofErr w:type="gramEnd"/>
      <w:r>
        <w:rPr>
          <w:b/>
          <w:sz w:val="28"/>
          <w:szCs w:val="28"/>
        </w:rPr>
        <w:t xml:space="preserve"> the UN tries that, too</w:t>
      </w:r>
    </w:p>
    <w:p w14:paraId="5CBE7135" w14:textId="77777777" w:rsidR="00A97A17" w:rsidRDefault="00A97A17" w:rsidP="00A97A17">
      <w:pPr>
        <w:rPr>
          <w:b/>
          <w:sz w:val="28"/>
          <w:szCs w:val="28"/>
        </w:rPr>
      </w:pPr>
    </w:p>
    <w:p w14:paraId="1109D660" w14:textId="77777777" w:rsidR="00A97A17" w:rsidRDefault="00A97A17" w:rsidP="00A97A17">
      <w:pPr>
        <w:rPr>
          <w:sz w:val="28"/>
          <w:szCs w:val="28"/>
        </w:rPr>
      </w:pPr>
      <w:r>
        <w:rPr>
          <w:sz w:val="28"/>
          <w:szCs w:val="28"/>
        </w:rPr>
        <w:t>If</w:t>
      </w:r>
      <w:r w:rsidRPr="003360A3">
        <w:rPr>
          <w:sz w:val="28"/>
          <w:szCs w:val="28"/>
        </w:rPr>
        <w:t xml:space="preserve"> </w:t>
      </w:r>
      <w:r>
        <w:rPr>
          <w:sz w:val="28"/>
          <w:szCs w:val="28"/>
        </w:rPr>
        <w:t xml:space="preserve">some form of </w:t>
      </w:r>
      <w:r w:rsidRPr="003360A3">
        <w:rPr>
          <w:sz w:val="28"/>
          <w:szCs w:val="28"/>
        </w:rPr>
        <w:t xml:space="preserve">internationalization </w:t>
      </w:r>
      <w:r>
        <w:rPr>
          <w:sz w:val="28"/>
          <w:szCs w:val="28"/>
        </w:rPr>
        <w:t xml:space="preserve">was the usual fudge, it was natural that the UN would use it as well.  Its attempt begins with the passage of Resolution 181, the partition of Palestine.  Part III covers Jerusalem, makes it a </w:t>
      </w:r>
      <w:r>
        <w:rPr>
          <w:i/>
          <w:sz w:val="28"/>
          <w:szCs w:val="28"/>
        </w:rPr>
        <w:t xml:space="preserve">corpus separatum </w:t>
      </w:r>
      <w:r>
        <w:rPr>
          <w:sz w:val="28"/>
          <w:szCs w:val="28"/>
        </w:rPr>
        <w:t xml:space="preserve">and lays out the general framework for the city.  It makes the Trusteeship Council (TC) the administering authority for the UN and gives it 5 months to write a Statute for the City that would flesh out the framework given them.  It creates a 10-year span for initial UN control, after which there could be a referendum of the citizens, but this wouldn’t be binding.  It also explained the purpose of the special regime: “…protect and preserve the unique spiritual and religious interests </w:t>
      </w:r>
      <w:r>
        <w:rPr>
          <w:sz w:val="28"/>
          <w:szCs w:val="28"/>
        </w:rPr>
        <w:lastRenderedPageBreak/>
        <w:t>located in the city of the three great monotheistic faiths…” as well as to foster cooperation and security between the two communities.</w:t>
      </w:r>
      <w:r>
        <w:rPr>
          <w:rStyle w:val="EndnoteReference"/>
          <w:sz w:val="28"/>
          <w:szCs w:val="28"/>
        </w:rPr>
        <w:endnoteReference w:id="85"/>
      </w:r>
      <w:r>
        <w:rPr>
          <w:sz w:val="28"/>
          <w:szCs w:val="28"/>
        </w:rPr>
        <w:t xml:space="preserve"> </w:t>
      </w:r>
    </w:p>
    <w:p w14:paraId="4171DC5E" w14:textId="77777777" w:rsidR="00A97A17" w:rsidRDefault="00A97A17" w:rsidP="00A97A17">
      <w:pPr>
        <w:rPr>
          <w:sz w:val="28"/>
          <w:szCs w:val="28"/>
        </w:rPr>
      </w:pPr>
    </w:p>
    <w:p w14:paraId="481FE487" w14:textId="77777777" w:rsidR="00A97A17" w:rsidRDefault="00A97A17" w:rsidP="00A97A17">
      <w:pPr>
        <w:rPr>
          <w:sz w:val="28"/>
          <w:szCs w:val="28"/>
        </w:rPr>
      </w:pPr>
      <w:r>
        <w:rPr>
          <w:sz w:val="28"/>
          <w:szCs w:val="28"/>
        </w:rPr>
        <w:t xml:space="preserve">The TC’s remit was to “elaborate and approve a detailed Statute”, regarding the form and administration of the City; they had no ability to decide what ought to be done about Jerusalem.  They began work 1 Dec 1947 at the sixth meeting of the session by creating a working subcommittee.  They were aware of the importance and difficulty of the task: </w:t>
      </w:r>
      <w:r w:rsidRPr="002C387D">
        <w:rPr>
          <w:sz w:val="28"/>
          <w:szCs w:val="28"/>
        </w:rPr>
        <w:t>“That involves a tremendously important and critical responsibility which is cast upon the TC.”</w:t>
      </w:r>
      <w:r>
        <w:rPr>
          <w:rStyle w:val="EndnoteReference"/>
          <w:sz w:val="28"/>
          <w:szCs w:val="28"/>
        </w:rPr>
        <w:endnoteReference w:id="86"/>
      </w:r>
      <w:r>
        <w:rPr>
          <w:sz w:val="28"/>
          <w:szCs w:val="28"/>
        </w:rPr>
        <w:t xml:space="preserve">  There is then a period when the Council takes up other matters, as the working group prepared a draft.  Once that was ready, they discussed the draft beginning 18 Feb 1948 for a long series of meetings.  While the various precedents are never mentioned in the Council discussions by any of the supporters of the notion - opponents of the concept do mention them - they are clearly an unstated presence in all their thoughts.  The participants understood the various failures of the </w:t>
      </w:r>
      <w:proofErr w:type="gramStart"/>
      <w:r>
        <w:rPr>
          <w:sz w:val="28"/>
          <w:szCs w:val="28"/>
        </w:rPr>
        <w:t>past, and</w:t>
      </w:r>
      <w:proofErr w:type="gramEnd"/>
      <w:r>
        <w:rPr>
          <w:sz w:val="28"/>
          <w:szCs w:val="28"/>
        </w:rPr>
        <w:t xml:space="preserve"> tried to keep the task at hand from going down that path.  In general, there are two camps in the council: the imperial powers, US, UK, France, Netherlands and Belgium, who all support a powerful Governor with all the tools to rule an intractable population, while the post-colonial states: particularly Mexico and the Philippines, argue for more power to the residents.  </w:t>
      </w:r>
    </w:p>
    <w:p w14:paraId="0A8EFBD8" w14:textId="77777777" w:rsidR="00A97A17" w:rsidRDefault="00A97A17" w:rsidP="00A97A17">
      <w:pPr>
        <w:rPr>
          <w:sz w:val="28"/>
          <w:szCs w:val="28"/>
        </w:rPr>
      </w:pPr>
    </w:p>
    <w:p w14:paraId="2A60370E" w14:textId="77777777" w:rsidR="00A97A17" w:rsidRDefault="00A97A17" w:rsidP="00A97A17">
      <w:pPr>
        <w:rPr>
          <w:sz w:val="28"/>
          <w:szCs w:val="28"/>
        </w:rPr>
      </w:pPr>
      <w:r>
        <w:rPr>
          <w:sz w:val="28"/>
          <w:szCs w:val="28"/>
        </w:rPr>
        <w:t xml:space="preserve">The meetings started with a bang.  The Iraqi delegate opened with a condemnation of the concept of internationalization and assured the Council that the task was doomed to failure.  </w:t>
      </w:r>
      <w:r w:rsidRPr="0016652F">
        <w:rPr>
          <w:sz w:val="28"/>
          <w:szCs w:val="28"/>
        </w:rPr>
        <w:t xml:space="preserve">“Attempts to set up international cities had always failed in the past.” </w:t>
      </w:r>
      <w:r>
        <w:rPr>
          <w:sz w:val="28"/>
          <w:szCs w:val="28"/>
        </w:rPr>
        <w:t xml:space="preserve">is followed with </w:t>
      </w:r>
      <w:r w:rsidRPr="0016652F">
        <w:rPr>
          <w:sz w:val="28"/>
          <w:szCs w:val="28"/>
        </w:rPr>
        <w:t xml:space="preserve">“The new element in the case of </w:t>
      </w:r>
      <w:r>
        <w:rPr>
          <w:sz w:val="28"/>
          <w:szCs w:val="28"/>
        </w:rPr>
        <w:t>Jerusalem</w:t>
      </w:r>
      <w:r w:rsidRPr="0016652F">
        <w:rPr>
          <w:sz w:val="28"/>
          <w:szCs w:val="28"/>
        </w:rPr>
        <w:t>, as compared with Danzig and Trieste, was that a religious, as well as a political, problem was involved.”</w:t>
      </w:r>
      <w:r>
        <w:rPr>
          <w:rStyle w:val="EndnoteReference"/>
          <w:sz w:val="28"/>
          <w:szCs w:val="28"/>
        </w:rPr>
        <w:endnoteReference w:id="87"/>
      </w:r>
      <w:r>
        <w:rPr>
          <w:sz w:val="28"/>
          <w:szCs w:val="28"/>
        </w:rPr>
        <w:t xml:space="preserve">  He explains why it is a terrible idea, why it is bad for the UN, bad for peace, illegal for both the UN and the TC, and will surely fail.</w:t>
      </w:r>
      <w:r>
        <w:rPr>
          <w:rStyle w:val="EndnoteReference"/>
          <w:sz w:val="28"/>
          <w:szCs w:val="28"/>
        </w:rPr>
        <w:endnoteReference w:id="88"/>
      </w:r>
      <w:r>
        <w:rPr>
          <w:sz w:val="28"/>
          <w:szCs w:val="28"/>
        </w:rPr>
        <w:t xml:space="preserve">  It is a reasonable and solid argument.  He finishes by saying that none of the Arab states will take part in the discussions.  The president of the TC responded that the Council was acting under its mandate from 181, and that only the GA itself could judge the issue; the TC had to implement the decision.</w:t>
      </w:r>
    </w:p>
    <w:p w14:paraId="482CE6A8" w14:textId="77777777" w:rsidR="00A97A17" w:rsidRDefault="00A97A17" w:rsidP="00A97A17">
      <w:pPr>
        <w:rPr>
          <w:sz w:val="28"/>
          <w:szCs w:val="28"/>
        </w:rPr>
      </w:pPr>
    </w:p>
    <w:p w14:paraId="7D999B50" w14:textId="77777777" w:rsidR="00A97A17" w:rsidRDefault="00A97A17" w:rsidP="00A97A17">
      <w:pPr>
        <w:rPr>
          <w:sz w:val="28"/>
          <w:szCs w:val="28"/>
        </w:rPr>
      </w:pPr>
      <w:r>
        <w:rPr>
          <w:sz w:val="28"/>
          <w:szCs w:val="28"/>
        </w:rPr>
        <w:t xml:space="preserve">It is clear that the Council was keeping the various precedents in mind in that they were constructing a system that assumes conflict between the population, its elected representatives and the Governor, who would rule for the UN.  The colonial powers all wanted the Governor to have broad powers, subject to few </w:t>
      </w:r>
      <w:r>
        <w:rPr>
          <w:sz w:val="28"/>
          <w:szCs w:val="28"/>
        </w:rPr>
        <w:lastRenderedPageBreak/>
        <w:t xml:space="preserve">checks, so that rule could be efficient.  This was in line with the experience of the UK in running the mandate.  Graves, who before his task as mayor of Jerusalem had spent a lifetime in colonial administration, says that the mandate was an almost pure bureaucratic autocracy, and finishes the thought with </w:t>
      </w:r>
      <w:r w:rsidRPr="005A5C05">
        <w:rPr>
          <w:sz w:val="28"/>
          <w:szCs w:val="28"/>
        </w:rPr>
        <w:t xml:space="preserve">“As a result [of </w:t>
      </w:r>
      <w:r>
        <w:rPr>
          <w:sz w:val="28"/>
          <w:szCs w:val="28"/>
        </w:rPr>
        <w:t>Arab</w:t>
      </w:r>
      <w:r w:rsidRPr="005A5C05">
        <w:rPr>
          <w:sz w:val="28"/>
          <w:szCs w:val="28"/>
        </w:rPr>
        <w:t xml:space="preserve"> refusal to take part in representative gov</w:t>
      </w:r>
      <w:r>
        <w:rPr>
          <w:sz w:val="28"/>
          <w:szCs w:val="28"/>
        </w:rPr>
        <w:t>ernmen</w:t>
      </w:r>
      <w:r w:rsidRPr="005A5C05">
        <w:rPr>
          <w:sz w:val="28"/>
          <w:szCs w:val="28"/>
        </w:rPr>
        <w:t>t], Palestine has been governed for the last 30 years less democratically than any of our important African territories.”</w:t>
      </w:r>
      <w:r>
        <w:rPr>
          <w:rStyle w:val="EndnoteReference"/>
          <w:sz w:val="28"/>
          <w:szCs w:val="28"/>
        </w:rPr>
        <w:endnoteReference w:id="89"/>
      </w:r>
      <w:r>
        <w:rPr>
          <w:sz w:val="28"/>
          <w:szCs w:val="28"/>
        </w:rPr>
        <w:t xml:space="preserve">  At almost all times, the TC chose the more powerful, autocratic solution to the various struggles it foresaw for the Governor.</w:t>
      </w:r>
      <w:r>
        <w:rPr>
          <w:rStyle w:val="EndnoteReference"/>
          <w:sz w:val="28"/>
          <w:szCs w:val="28"/>
        </w:rPr>
        <w:endnoteReference w:id="90"/>
      </w:r>
    </w:p>
    <w:p w14:paraId="08E83591" w14:textId="77777777" w:rsidR="00A97A17" w:rsidRDefault="00A97A17" w:rsidP="00A97A17">
      <w:pPr>
        <w:rPr>
          <w:sz w:val="28"/>
          <w:szCs w:val="28"/>
        </w:rPr>
      </w:pPr>
    </w:p>
    <w:p w14:paraId="4F5BA58F" w14:textId="77777777" w:rsidR="00A97A17" w:rsidRDefault="00A97A17" w:rsidP="00A97A17">
      <w:pPr>
        <w:rPr>
          <w:sz w:val="28"/>
          <w:szCs w:val="28"/>
        </w:rPr>
      </w:pPr>
      <w:r>
        <w:rPr>
          <w:sz w:val="28"/>
          <w:szCs w:val="28"/>
        </w:rPr>
        <w:t>The problem of ruling Jerusalem in the interests of the 3 monotheistic faiths was that it was a city with people living in it, and they wanted a voice in how they were ruled.  Further, they were roughly evenly split into two communities, openly at war with each other, and unreconcilable.  No wonder the states with experience ruling recalcitrant natives wanted to give the Governor vast powers.  So broad that the delegate of the Philippines worries “The impression might be given that the UN had supported the establishment of a totalitarian form of government for the City of Jerusalem,”</w:t>
      </w:r>
      <w:r>
        <w:rPr>
          <w:rStyle w:val="EndnoteReference"/>
          <w:sz w:val="28"/>
          <w:szCs w:val="28"/>
        </w:rPr>
        <w:endnoteReference w:id="91"/>
      </w:r>
      <w:r>
        <w:rPr>
          <w:sz w:val="28"/>
          <w:szCs w:val="28"/>
        </w:rPr>
        <w:t xml:space="preserve">  The usual reason was given, that the people aren’t ready for democracy, which was the justification for both the mandate and trusteeship systems.  Paul </w:t>
      </w:r>
      <w:proofErr w:type="spellStart"/>
      <w:r>
        <w:rPr>
          <w:sz w:val="28"/>
          <w:szCs w:val="28"/>
        </w:rPr>
        <w:t>Mohn</w:t>
      </w:r>
      <w:proofErr w:type="spellEnd"/>
      <w:r>
        <w:rPr>
          <w:sz w:val="28"/>
          <w:szCs w:val="28"/>
        </w:rPr>
        <w:t>, described in the notes as “Expert consultant attached to the Secretariat,” is clear that is the case.</w:t>
      </w:r>
      <w:r>
        <w:rPr>
          <w:rStyle w:val="EndnoteReference"/>
          <w:sz w:val="28"/>
          <w:szCs w:val="28"/>
        </w:rPr>
        <w:endnoteReference w:id="92"/>
      </w:r>
      <w:r>
        <w:rPr>
          <w:sz w:val="28"/>
          <w:szCs w:val="28"/>
        </w:rPr>
        <w:t xml:space="preserve">  At each turn, the delegates sought to curtail the rights of the population.</w:t>
      </w:r>
      <w:r>
        <w:rPr>
          <w:rStyle w:val="EndnoteReference"/>
          <w:sz w:val="28"/>
          <w:szCs w:val="28"/>
        </w:rPr>
        <w:endnoteReference w:id="93"/>
      </w:r>
      <w:r>
        <w:rPr>
          <w:sz w:val="28"/>
          <w:szCs w:val="28"/>
        </w:rPr>
        <w:t xml:space="preserve">  </w:t>
      </w:r>
    </w:p>
    <w:p w14:paraId="09EB4D66" w14:textId="77777777" w:rsidR="00A97A17" w:rsidRDefault="00A97A17" w:rsidP="00A97A17">
      <w:pPr>
        <w:rPr>
          <w:sz w:val="28"/>
          <w:szCs w:val="28"/>
        </w:rPr>
      </w:pPr>
    </w:p>
    <w:p w14:paraId="2304EB7E" w14:textId="77777777" w:rsidR="00A97A17" w:rsidRDefault="00A97A17" w:rsidP="00A97A17">
      <w:pPr>
        <w:rPr>
          <w:sz w:val="28"/>
          <w:szCs w:val="28"/>
        </w:rPr>
      </w:pPr>
      <w:r>
        <w:rPr>
          <w:sz w:val="28"/>
          <w:szCs w:val="28"/>
        </w:rPr>
        <w:t>The second issue of great importance and difficulty was how to constitute the legislative council (LC).  Here there were two main options: all citizens would vote together, or they would vote by community identification for reserved community seats.  In the former case, the majority community would probably rule, in the latter, it depended on how many communities there would be and how they were defined.  While they never referenced the various attempts at international cities, they color the discussions.   Under the Statute of Trieste, it would have been a divided city that simply voted on a citywide basis, allowing for majority rule.</w:t>
      </w:r>
      <w:r w:rsidRPr="00B541BC">
        <w:rPr>
          <w:rStyle w:val="EndnoteReference"/>
          <w:sz w:val="28"/>
          <w:szCs w:val="28"/>
        </w:rPr>
        <w:t xml:space="preserve"> </w:t>
      </w:r>
      <w:r>
        <w:rPr>
          <w:rStyle w:val="EndnoteReference"/>
          <w:sz w:val="28"/>
          <w:szCs w:val="28"/>
        </w:rPr>
        <w:endnoteReference w:id="94"/>
      </w:r>
      <w:r>
        <w:rPr>
          <w:sz w:val="28"/>
          <w:szCs w:val="28"/>
        </w:rPr>
        <w:t xml:space="preserve">   This was a core discussion and very contentious, which the Council returned to again and again.</w:t>
      </w:r>
      <w:r>
        <w:rPr>
          <w:rStyle w:val="EndnoteReference"/>
          <w:sz w:val="28"/>
          <w:szCs w:val="28"/>
        </w:rPr>
        <w:endnoteReference w:id="95"/>
      </w:r>
      <w:r>
        <w:rPr>
          <w:sz w:val="28"/>
          <w:szCs w:val="28"/>
        </w:rPr>
        <w:t xml:space="preserve"> Each option created some new conflict, but the conflicts were inherent in the task they had been given: how to keep the city together, unified, under conditions of partition and war for the rest of the territory.  </w:t>
      </w:r>
    </w:p>
    <w:p w14:paraId="0ECB0569" w14:textId="77777777" w:rsidR="00A97A17" w:rsidRDefault="00A97A17" w:rsidP="00A97A17">
      <w:pPr>
        <w:rPr>
          <w:sz w:val="28"/>
          <w:szCs w:val="28"/>
        </w:rPr>
      </w:pPr>
    </w:p>
    <w:p w14:paraId="1D9B4F4F" w14:textId="77777777" w:rsidR="00A97A17" w:rsidRDefault="00A97A17" w:rsidP="00A97A17">
      <w:pPr>
        <w:rPr>
          <w:sz w:val="28"/>
          <w:szCs w:val="28"/>
        </w:rPr>
      </w:pPr>
      <w:r>
        <w:rPr>
          <w:sz w:val="28"/>
          <w:szCs w:val="28"/>
        </w:rPr>
        <w:t xml:space="preserve">Trying to design a legislature of course led to the problem of trying to define who the voters might be.  This would be particularly important if the voting would be </w:t>
      </w:r>
      <w:r>
        <w:rPr>
          <w:sz w:val="28"/>
          <w:szCs w:val="28"/>
        </w:rPr>
        <w:lastRenderedPageBreak/>
        <w:t>by community.  This leads to the odd situation where the Council comes to understand that most of the residents of the City wouldn’t want to be citizens, and so they might have to open voting to all residents.</w:t>
      </w:r>
      <w:r>
        <w:rPr>
          <w:rStyle w:val="EndnoteReference"/>
          <w:sz w:val="28"/>
          <w:szCs w:val="28"/>
        </w:rPr>
        <w:endnoteReference w:id="96"/>
      </w:r>
      <w:r>
        <w:rPr>
          <w:sz w:val="28"/>
          <w:szCs w:val="28"/>
        </w:rPr>
        <w:t xml:space="preserve">  Almost all the representatives at some point or another were willing to agree that few, if any, of the residents would want to be citizens if it meant giving up citizenship in another state.  Perhaps the point of all the complications would be to reduce the number of citizens so that the international community could have proper control.  At the extreme, they understood as well that they might have a hard time finding 40 citizens or residents to sit on the LC.  “</w:t>
      </w:r>
      <w:r w:rsidRPr="00515DB0">
        <w:rPr>
          <w:sz w:val="28"/>
          <w:szCs w:val="28"/>
        </w:rPr>
        <w:t>Mr</w:t>
      </w:r>
      <w:r>
        <w:rPr>
          <w:sz w:val="28"/>
          <w:szCs w:val="28"/>
        </w:rPr>
        <w:t>.</w:t>
      </w:r>
      <w:r w:rsidRPr="00515DB0">
        <w:rPr>
          <w:sz w:val="28"/>
          <w:szCs w:val="28"/>
        </w:rPr>
        <w:t xml:space="preserve"> Ryckmans (Belgium) felt that since most residents of the City would naturally opt for citizenship of their State of origin, or of the Arab or Jewish State, the only persons who opted for citizenship of </w:t>
      </w:r>
      <w:r>
        <w:rPr>
          <w:sz w:val="28"/>
          <w:szCs w:val="28"/>
        </w:rPr>
        <w:t>Jerusalem</w:t>
      </w:r>
      <w:r w:rsidRPr="00515DB0">
        <w:rPr>
          <w:sz w:val="28"/>
          <w:szCs w:val="28"/>
        </w:rPr>
        <w:t xml:space="preserve"> would possibly be those who took no interest in public affairs.”</w:t>
      </w:r>
      <w:r>
        <w:rPr>
          <w:rStyle w:val="EndnoteReference"/>
          <w:sz w:val="28"/>
          <w:szCs w:val="28"/>
        </w:rPr>
        <w:endnoteReference w:id="97"/>
      </w:r>
    </w:p>
    <w:p w14:paraId="6A3E4C15" w14:textId="77777777" w:rsidR="00A97A17" w:rsidRDefault="00A97A17" w:rsidP="00A97A17">
      <w:pPr>
        <w:rPr>
          <w:sz w:val="28"/>
          <w:szCs w:val="28"/>
        </w:rPr>
      </w:pPr>
    </w:p>
    <w:p w14:paraId="72F9BF48" w14:textId="77777777" w:rsidR="00A97A17" w:rsidRDefault="00A97A17" w:rsidP="00A97A17">
      <w:pPr>
        <w:rPr>
          <w:sz w:val="28"/>
          <w:szCs w:val="28"/>
        </w:rPr>
      </w:pPr>
      <w:r>
        <w:rPr>
          <w:sz w:val="28"/>
          <w:szCs w:val="28"/>
        </w:rPr>
        <w:t>As the deliberations progressed, each new anomaly demanded some odd new innovation to fix it, and they piled up, one atop the other, in an incoherent, inexorable way.   Imagine a situation where a proposal is defended as follows:</w:t>
      </w:r>
      <w:proofErr w:type="gramStart"/>
      <w:r>
        <w:rPr>
          <w:sz w:val="28"/>
          <w:szCs w:val="28"/>
        </w:rPr>
        <w:t xml:space="preserve"> </w:t>
      </w:r>
      <w:r w:rsidRPr="00D42D8B">
        <w:rPr>
          <w:sz w:val="28"/>
          <w:szCs w:val="28"/>
        </w:rPr>
        <w:t xml:space="preserve">  “</w:t>
      </w:r>
      <w:proofErr w:type="spellStart"/>
      <w:proofErr w:type="gramEnd"/>
      <w:r w:rsidRPr="00D42D8B">
        <w:rPr>
          <w:sz w:val="28"/>
          <w:szCs w:val="28"/>
        </w:rPr>
        <w:t>Mr</w:t>
      </w:r>
      <w:proofErr w:type="spellEnd"/>
      <w:r w:rsidRPr="00D42D8B">
        <w:rPr>
          <w:sz w:val="28"/>
          <w:szCs w:val="28"/>
        </w:rPr>
        <w:t xml:space="preserve"> Reid (New Zealand) saw no reason why his proposal should be opposed on the grounds that it was an innovation.  In drafting the Statute for the City of </w:t>
      </w:r>
      <w:r>
        <w:rPr>
          <w:sz w:val="28"/>
          <w:szCs w:val="28"/>
        </w:rPr>
        <w:t>Jerusalem</w:t>
      </w:r>
      <w:r w:rsidRPr="00D42D8B">
        <w:rPr>
          <w:sz w:val="28"/>
          <w:szCs w:val="28"/>
        </w:rPr>
        <w:t>, the Council was already creating something new in IL.”</w:t>
      </w:r>
      <w:r>
        <w:rPr>
          <w:rStyle w:val="EndnoteReference"/>
          <w:sz w:val="28"/>
          <w:szCs w:val="28"/>
        </w:rPr>
        <w:endnoteReference w:id="98"/>
      </w:r>
      <w:r>
        <w:rPr>
          <w:sz w:val="28"/>
          <w:szCs w:val="28"/>
        </w:rPr>
        <w:t xml:space="preserve">  Still, by drifting further and further from the norms of IL, the document was less and less defensible.  </w:t>
      </w:r>
    </w:p>
    <w:p w14:paraId="722C1E72" w14:textId="77777777" w:rsidR="00A97A17" w:rsidRDefault="00A97A17" w:rsidP="00A97A17">
      <w:pPr>
        <w:rPr>
          <w:sz w:val="28"/>
          <w:szCs w:val="28"/>
        </w:rPr>
      </w:pPr>
    </w:p>
    <w:p w14:paraId="2198EDD5" w14:textId="77777777" w:rsidR="00A97A17" w:rsidRDefault="00A97A17" w:rsidP="00A97A17">
      <w:pPr>
        <w:rPr>
          <w:sz w:val="28"/>
          <w:szCs w:val="28"/>
        </w:rPr>
      </w:pPr>
      <w:r>
        <w:rPr>
          <w:sz w:val="28"/>
          <w:szCs w:val="28"/>
        </w:rPr>
        <w:t xml:space="preserve">The great innovation in Jerusalem wasn’t in setting up an internationalized space; that had been tried before, though all attempts had been failures.  The innovation was the purpose of the City: to serve the interests of the international community and not the people of the City nor other states.  The three monotheistic religions, and the various states that felt tied to the faiths, were the beneficiaries.  As the Iraqi delegate had pointed out, Jerusalem had the added problem of religion, and this greatly complicated matters.  The delegate of New Zealand declared: </w:t>
      </w:r>
      <w:r w:rsidRPr="00D2427F">
        <w:rPr>
          <w:sz w:val="28"/>
          <w:szCs w:val="28"/>
        </w:rPr>
        <w:t xml:space="preserve">“Being a holy place, </w:t>
      </w:r>
      <w:r>
        <w:rPr>
          <w:sz w:val="28"/>
          <w:szCs w:val="28"/>
        </w:rPr>
        <w:t>Jerusalem</w:t>
      </w:r>
      <w:r w:rsidRPr="00D2427F">
        <w:rPr>
          <w:sz w:val="28"/>
          <w:szCs w:val="28"/>
        </w:rPr>
        <w:t xml:space="preserve"> could never be completely self-governing…”</w:t>
      </w:r>
      <w:r>
        <w:rPr>
          <w:rStyle w:val="EndnoteReference"/>
          <w:sz w:val="28"/>
          <w:szCs w:val="28"/>
        </w:rPr>
        <w:endnoteReference w:id="99"/>
      </w:r>
      <w:r>
        <w:rPr>
          <w:sz w:val="28"/>
          <w:szCs w:val="28"/>
        </w:rPr>
        <w:t xml:space="preserve"> and the UK delegate agreed:</w:t>
      </w:r>
      <w:r w:rsidRPr="00D2427F">
        <w:rPr>
          <w:sz w:val="28"/>
          <w:szCs w:val="28"/>
        </w:rPr>
        <w:t xml:space="preserve"> “Sir Alan Burns (UK) realized that his proposal was a departure from the usual practice in democratic countries, but the special condition in </w:t>
      </w:r>
      <w:r>
        <w:rPr>
          <w:sz w:val="28"/>
          <w:szCs w:val="28"/>
        </w:rPr>
        <w:t>Jerusalem</w:t>
      </w:r>
      <w:r w:rsidRPr="00D2427F">
        <w:rPr>
          <w:sz w:val="28"/>
          <w:szCs w:val="28"/>
        </w:rPr>
        <w:t xml:space="preserve"> seemed to warrant it.”</w:t>
      </w:r>
      <w:r>
        <w:rPr>
          <w:rStyle w:val="EndnoteReference"/>
          <w:sz w:val="28"/>
          <w:szCs w:val="28"/>
        </w:rPr>
        <w:endnoteReference w:id="100"/>
      </w:r>
      <w:r>
        <w:rPr>
          <w:sz w:val="28"/>
          <w:szCs w:val="28"/>
        </w:rPr>
        <w:t xml:space="preserve">  He went on to point out that the primary purpose of the Statute was the religious rights of the international community, and that the people of the city were an impediment to these rights: “</w:t>
      </w:r>
      <w:r w:rsidRPr="008B22F0">
        <w:rPr>
          <w:sz w:val="28"/>
          <w:szCs w:val="28"/>
        </w:rPr>
        <w:t>Mr. R</w:t>
      </w:r>
      <w:r>
        <w:rPr>
          <w:sz w:val="28"/>
          <w:szCs w:val="28"/>
        </w:rPr>
        <w:t xml:space="preserve">eid </w:t>
      </w:r>
      <w:r w:rsidRPr="008B22F0">
        <w:rPr>
          <w:sz w:val="28"/>
          <w:szCs w:val="28"/>
        </w:rPr>
        <w:t>(New Zealand) felt that the purpose</w:t>
      </w:r>
      <w:r>
        <w:rPr>
          <w:sz w:val="28"/>
          <w:szCs w:val="28"/>
        </w:rPr>
        <w:t xml:space="preserve"> </w:t>
      </w:r>
      <w:r w:rsidRPr="008B22F0">
        <w:rPr>
          <w:sz w:val="28"/>
          <w:szCs w:val="28"/>
        </w:rPr>
        <w:t>of setting up a</w:t>
      </w:r>
      <w:r>
        <w:rPr>
          <w:sz w:val="28"/>
          <w:szCs w:val="28"/>
        </w:rPr>
        <w:t xml:space="preserve"> </w:t>
      </w:r>
      <w:r w:rsidRPr="008B22F0">
        <w:rPr>
          <w:sz w:val="28"/>
          <w:szCs w:val="28"/>
        </w:rPr>
        <w:t>separate City of Jerusalem under</w:t>
      </w:r>
      <w:r>
        <w:rPr>
          <w:sz w:val="28"/>
          <w:szCs w:val="28"/>
        </w:rPr>
        <w:t xml:space="preserve"> </w:t>
      </w:r>
      <w:r w:rsidRPr="008B22F0">
        <w:rPr>
          <w:sz w:val="28"/>
          <w:szCs w:val="28"/>
        </w:rPr>
        <w:t>an international regime was to eliminate</w:t>
      </w:r>
      <w:r>
        <w:rPr>
          <w:sz w:val="28"/>
          <w:szCs w:val="28"/>
        </w:rPr>
        <w:t xml:space="preserve"> </w:t>
      </w:r>
      <w:r w:rsidRPr="008B22F0">
        <w:rPr>
          <w:sz w:val="28"/>
          <w:szCs w:val="28"/>
        </w:rPr>
        <w:t xml:space="preserve">conflict and ensure peace in the </w:t>
      </w:r>
      <w:r w:rsidRPr="008B22F0">
        <w:rPr>
          <w:sz w:val="28"/>
          <w:szCs w:val="28"/>
        </w:rPr>
        <w:lastRenderedPageBreak/>
        <w:t>Holy City.</w:t>
      </w:r>
      <w:r>
        <w:rPr>
          <w:sz w:val="28"/>
          <w:szCs w:val="28"/>
        </w:rPr>
        <w:t xml:space="preserve">  </w:t>
      </w:r>
      <w:r w:rsidRPr="008B22F0">
        <w:rPr>
          <w:sz w:val="28"/>
          <w:szCs w:val="28"/>
        </w:rPr>
        <w:t>Providing for a Legislative Council</w:t>
      </w:r>
      <w:r>
        <w:rPr>
          <w:sz w:val="28"/>
          <w:szCs w:val="28"/>
        </w:rPr>
        <w:t xml:space="preserve"> </w:t>
      </w:r>
      <w:r w:rsidRPr="008B22F0">
        <w:rPr>
          <w:sz w:val="28"/>
          <w:szCs w:val="28"/>
        </w:rPr>
        <w:t>composed</w:t>
      </w:r>
      <w:r>
        <w:rPr>
          <w:sz w:val="28"/>
          <w:szCs w:val="28"/>
        </w:rPr>
        <w:t xml:space="preserve"> </w:t>
      </w:r>
      <w:r w:rsidRPr="008B22F0">
        <w:rPr>
          <w:sz w:val="28"/>
          <w:szCs w:val="28"/>
        </w:rPr>
        <w:t>of members of conflicting Arab and Jewish</w:t>
      </w:r>
      <w:r>
        <w:rPr>
          <w:sz w:val="28"/>
          <w:szCs w:val="28"/>
        </w:rPr>
        <w:t xml:space="preserve"> </w:t>
      </w:r>
      <w:r w:rsidRPr="008B22F0">
        <w:rPr>
          <w:sz w:val="28"/>
          <w:szCs w:val="28"/>
        </w:rPr>
        <w:t>States in Palestine would frustrate the Plan.</w:t>
      </w:r>
      <w:r>
        <w:rPr>
          <w:sz w:val="28"/>
          <w:szCs w:val="28"/>
        </w:rPr>
        <w:t>”</w:t>
      </w:r>
      <w:r>
        <w:rPr>
          <w:rStyle w:val="EndnoteReference"/>
          <w:sz w:val="28"/>
          <w:szCs w:val="28"/>
        </w:rPr>
        <w:endnoteReference w:id="101"/>
      </w:r>
      <w:r>
        <w:rPr>
          <w:sz w:val="28"/>
          <w:szCs w:val="28"/>
        </w:rPr>
        <w:t xml:space="preserve">  More agreement comes from </w:t>
      </w:r>
      <w:r w:rsidRPr="003C284D">
        <w:rPr>
          <w:sz w:val="28"/>
          <w:szCs w:val="28"/>
        </w:rPr>
        <w:t>Belg</w:t>
      </w:r>
      <w:r>
        <w:rPr>
          <w:sz w:val="28"/>
          <w:szCs w:val="28"/>
        </w:rPr>
        <w:t>ium</w:t>
      </w:r>
      <w:r w:rsidRPr="003C284D">
        <w:rPr>
          <w:sz w:val="28"/>
          <w:szCs w:val="28"/>
        </w:rPr>
        <w:t xml:space="preserve">: “The concern of the GA was not primarily the advancement of the people but rather the protection of the unique religious interests located in </w:t>
      </w:r>
      <w:r>
        <w:rPr>
          <w:sz w:val="28"/>
          <w:szCs w:val="28"/>
        </w:rPr>
        <w:t>Jerusalem</w:t>
      </w:r>
      <w:r w:rsidRPr="003C284D">
        <w:rPr>
          <w:sz w:val="28"/>
          <w:szCs w:val="28"/>
        </w:rPr>
        <w:t>.”</w:t>
      </w:r>
      <w:r>
        <w:rPr>
          <w:rStyle w:val="EndnoteReference"/>
          <w:sz w:val="28"/>
          <w:szCs w:val="28"/>
        </w:rPr>
        <w:endnoteReference w:id="102"/>
      </w:r>
      <w:r w:rsidRPr="003C284D">
        <w:rPr>
          <w:sz w:val="28"/>
          <w:szCs w:val="28"/>
        </w:rPr>
        <w:t xml:space="preserve"> </w:t>
      </w:r>
      <w:r>
        <w:rPr>
          <w:sz w:val="28"/>
          <w:szCs w:val="28"/>
        </w:rPr>
        <w:t>Most of the prior internationalized spaces that Hall lists were justified either by commerce, bringing peace or raising the people up in tutelage so that they could become independent;</w:t>
      </w:r>
      <w:r>
        <w:rPr>
          <w:rStyle w:val="EndnoteReference"/>
          <w:sz w:val="28"/>
          <w:szCs w:val="28"/>
        </w:rPr>
        <w:endnoteReference w:id="103"/>
      </w:r>
      <w:r>
        <w:rPr>
          <w:sz w:val="28"/>
          <w:szCs w:val="28"/>
        </w:rPr>
        <w:t xml:space="preserve"> this one was special.  To the extent that the three monotheistic religions, or the states that were tied to them, might have conflicts with each other, they would surely bring those conflicts to Jerusalem, as they always had.  The Statute would suppress Jerusalem the city for the sake of Jerusalem the Holy Place.</w:t>
      </w:r>
    </w:p>
    <w:p w14:paraId="02E8C5F2" w14:textId="77777777" w:rsidR="00A97A17" w:rsidRDefault="00A97A17" w:rsidP="00A97A17">
      <w:pPr>
        <w:rPr>
          <w:sz w:val="28"/>
          <w:szCs w:val="28"/>
        </w:rPr>
      </w:pPr>
    </w:p>
    <w:p w14:paraId="36FE85EB" w14:textId="77777777" w:rsidR="00A97A17" w:rsidRDefault="00A97A17" w:rsidP="00A97A17">
      <w:pPr>
        <w:rPr>
          <w:sz w:val="28"/>
          <w:szCs w:val="28"/>
        </w:rPr>
      </w:pPr>
      <w:r>
        <w:rPr>
          <w:sz w:val="28"/>
          <w:szCs w:val="28"/>
        </w:rPr>
        <w:t>While the precedents cannot help but be in the back of the delegates’</w:t>
      </w:r>
    </w:p>
    <w:p w14:paraId="5D645A45" w14:textId="77777777" w:rsidR="00A97A17" w:rsidRDefault="00A97A17" w:rsidP="00A97A17">
      <w:pPr>
        <w:rPr>
          <w:sz w:val="28"/>
          <w:szCs w:val="28"/>
        </w:rPr>
      </w:pPr>
      <w:r>
        <w:rPr>
          <w:sz w:val="28"/>
          <w:szCs w:val="28"/>
        </w:rPr>
        <w:t>minds, they do not call on them openly, unlike the opponents of the project, Israel and Iraq.</w:t>
      </w:r>
      <w:r>
        <w:rPr>
          <w:rStyle w:val="EndnoteReference"/>
          <w:sz w:val="28"/>
          <w:szCs w:val="28"/>
        </w:rPr>
        <w:endnoteReference w:id="104"/>
      </w:r>
      <w:r>
        <w:rPr>
          <w:sz w:val="28"/>
          <w:szCs w:val="28"/>
        </w:rPr>
        <w:t xml:space="preserve">  To do so would be admitting that this too would probably end in failure.  Had they been more open, the working committee could have saved themselves a lot of trouble and declared that the Statute of Trieste, passed by the SC 9 January, 1947, just a year before, had wrestled with the same issues and could be a good start with some necessary modifications.</w:t>
      </w:r>
      <w:r>
        <w:rPr>
          <w:rStyle w:val="EndnoteReference"/>
          <w:sz w:val="28"/>
          <w:szCs w:val="28"/>
        </w:rPr>
        <w:endnoteReference w:id="105"/>
      </w:r>
      <w:r>
        <w:rPr>
          <w:sz w:val="28"/>
          <w:szCs w:val="28"/>
        </w:rPr>
        <w:t xml:space="preserve">  In fact, there is a great deal of overlap between that statute and the one for Jerusalem, though the latter is longer and  more specific.</w:t>
      </w:r>
      <w:r>
        <w:rPr>
          <w:rStyle w:val="EndnoteReference"/>
          <w:sz w:val="28"/>
          <w:szCs w:val="28"/>
        </w:rPr>
        <w:endnoteReference w:id="106"/>
      </w:r>
      <w:r>
        <w:rPr>
          <w:sz w:val="28"/>
          <w:szCs w:val="28"/>
        </w:rPr>
        <w:t xml:space="preserve">  They pretended that they were starting from scratch because they couldn’t admit that the project was doomed like the earlier failures.  Still, echoes reverberate.  In a discussion of the Governor vetoing legislation that he found unconstitutional, the Australian delegate says this</w:t>
      </w:r>
      <w:proofErr w:type="gramStart"/>
      <w:r>
        <w:rPr>
          <w:sz w:val="28"/>
          <w:szCs w:val="28"/>
        </w:rPr>
        <w:t xml:space="preserve">:  </w:t>
      </w:r>
      <w:r w:rsidRPr="00047A13">
        <w:rPr>
          <w:sz w:val="28"/>
          <w:szCs w:val="28"/>
        </w:rPr>
        <w:t>“</w:t>
      </w:r>
      <w:proofErr w:type="gramEnd"/>
      <w:r w:rsidRPr="00047A13">
        <w:rPr>
          <w:sz w:val="28"/>
          <w:szCs w:val="28"/>
        </w:rPr>
        <w:t>… but thought that the other part of the proposal would encourage the Legislative Council to pass unconstitutional bills in the hope of getting the Statute amended.”</w:t>
      </w:r>
      <w:r>
        <w:rPr>
          <w:rStyle w:val="EndnoteReference"/>
          <w:sz w:val="28"/>
          <w:szCs w:val="28"/>
        </w:rPr>
        <w:endnoteReference w:id="107"/>
      </w:r>
      <w:r>
        <w:rPr>
          <w:sz w:val="28"/>
          <w:szCs w:val="28"/>
        </w:rPr>
        <w:t xml:space="preserve">  This is in line with van Hamel’s observation that the populations must show the world that the situation is untenable in order to force change in the basic documents that created the situation.  In the interwar examples, it was largely unified populations organizing against their rulers, though Danzig had some Poles and Memel some Lithuanians.  In Trieste and Jerusalem, the added complication would have been conflicting communities within the population, each demanding unification with a foreign power, and both against the rulers.  How could it not have been a failure?  </w:t>
      </w:r>
    </w:p>
    <w:p w14:paraId="6DE7E800" w14:textId="77777777" w:rsidR="00A97A17" w:rsidRDefault="00A97A17" w:rsidP="00A97A17">
      <w:pPr>
        <w:rPr>
          <w:sz w:val="28"/>
          <w:szCs w:val="28"/>
        </w:rPr>
      </w:pPr>
    </w:p>
    <w:p w14:paraId="74BC2728" w14:textId="77777777" w:rsidR="00A97A17" w:rsidRDefault="00A97A17" w:rsidP="00A97A17">
      <w:pPr>
        <w:rPr>
          <w:sz w:val="28"/>
          <w:szCs w:val="28"/>
        </w:rPr>
      </w:pPr>
      <w:r>
        <w:rPr>
          <w:sz w:val="28"/>
          <w:szCs w:val="28"/>
        </w:rPr>
        <w:t xml:space="preserve">Piece by piece, the committee passed all of the constituent parts of the Statute and on 10 March 1948, it was passed in full </w:t>
      </w:r>
      <w:proofErr w:type="gramStart"/>
      <w:r>
        <w:rPr>
          <w:sz w:val="28"/>
          <w:szCs w:val="28"/>
        </w:rPr>
        <w:t>with</w:t>
      </w:r>
      <w:proofErr w:type="gramEnd"/>
      <w:r>
        <w:rPr>
          <w:sz w:val="28"/>
          <w:szCs w:val="28"/>
        </w:rPr>
        <w:t xml:space="preserve"> four abstentions out of eleven </w:t>
      </w:r>
      <w:r>
        <w:rPr>
          <w:sz w:val="28"/>
          <w:szCs w:val="28"/>
        </w:rPr>
        <w:lastRenderedPageBreak/>
        <w:t xml:space="preserve">votes, not a resounding endorsement.  This was a provisional </w:t>
      </w:r>
      <w:proofErr w:type="gramStart"/>
      <w:r>
        <w:rPr>
          <w:sz w:val="28"/>
          <w:szCs w:val="28"/>
        </w:rPr>
        <w:t>acceptance, and</w:t>
      </w:r>
      <w:proofErr w:type="gramEnd"/>
      <w:r>
        <w:rPr>
          <w:sz w:val="28"/>
          <w:szCs w:val="28"/>
        </w:rPr>
        <w:t xml:space="preserve"> left the Statute in limbo.</w:t>
      </w:r>
      <w:r>
        <w:rPr>
          <w:rStyle w:val="EndnoteReference"/>
          <w:sz w:val="28"/>
          <w:szCs w:val="28"/>
        </w:rPr>
        <w:endnoteReference w:id="108"/>
      </w:r>
      <w:r>
        <w:rPr>
          <w:sz w:val="28"/>
          <w:szCs w:val="28"/>
        </w:rPr>
        <w:t xml:space="preserve">  At the end of the meeting, which was the last of the session, the US noted, for the first time in all the discussions, the difference between how the men in the room might have seen the situation and how it was seen in Jerusalem, already torn by fighting.</w:t>
      </w:r>
      <w:r>
        <w:rPr>
          <w:rStyle w:val="EndnoteReference"/>
          <w:sz w:val="28"/>
          <w:szCs w:val="28"/>
        </w:rPr>
        <w:endnoteReference w:id="109"/>
      </w:r>
      <w:r>
        <w:rPr>
          <w:sz w:val="28"/>
          <w:szCs w:val="28"/>
        </w:rPr>
        <w:t xml:space="preserve">  The UN had no presence on the ground and would never have one, and so their influence was zero.</w:t>
      </w:r>
      <w:r>
        <w:rPr>
          <w:rStyle w:val="EndnoteReference"/>
          <w:sz w:val="28"/>
          <w:szCs w:val="28"/>
        </w:rPr>
        <w:endnoteReference w:id="110"/>
      </w:r>
    </w:p>
    <w:p w14:paraId="71371DBE" w14:textId="77777777" w:rsidR="00A97A17" w:rsidRDefault="00A97A17" w:rsidP="00A97A17">
      <w:pPr>
        <w:rPr>
          <w:sz w:val="28"/>
          <w:szCs w:val="28"/>
        </w:rPr>
      </w:pPr>
    </w:p>
    <w:p w14:paraId="6A7CF7BC" w14:textId="77777777" w:rsidR="00A97A17" w:rsidRDefault="00A97A17" w:rsidP="00A97A17">
      <w:pPr>
        <w:rPr>
          <w:sz w:val="28"/>
          <w:szCs w:val="28"/>
        </w:rPr>
      </w:pPr>
      <w:r>
        <w:rPr>
          <w:sz w:val="28"/>
          <w:szCs w:val="28"/>
        </w:rPr>
        <w:t>With the Statute almost done, the Council passed two supporting documents.  The first was instructions for the Governor, and the second was procedural rules for the TC when dealing with Jerusalem, as it wasn’t a Trusteeship.</w:t>
      </w:r>
      <w:r>
        <w:rPr>
          <w:rStyle w:val="EndnoteReference"/>
          <w:sz w:val="28"/>
          <w:szCs w:val="28"/>
        </w:rPr>
        <w:endnoteReference w:id="111"/>
      </w:r>
      <w:r>
        <w:rPr>
          <w:sz w:val="28"/>
          <w:szCs w:val="28"/>
        </w:rPr>
        <w:t xml:space="preserve">  Both are largely administrative but include telling details.  The instructions give the Governor yet more power, leaving much to his discretion and judgment, and also giving him yet more leverage over both the Legislative Council and the Council of Administration.   What is most interesting about the second document is that the TC decided to take the notion that the City was to be run in the interests of the international community seriously.  To this end, </w:t>
      </w:r>
      <w:r w:rsidRPr="006073F2">
        <w:rPr>
          <w:sz w:val="28"/>
          <w:szCs w:val="28"/>
        </w:rPr>
        <w:t>“The TC will consider a written and signed petition from any person in the City, or, in the case of a petition concerning the Holy Places, religious buildings and sites, from any person whether inside or outside the City.”</w:t>
      </w:r>
      <w:r>
        <w:rPr>
          <w:sz w:val="28"/>
          <w:szCs w:val="28"/>
        </w:rPr>
        <w:t xml:space="preserve">  Which is to say: all people everywhere.  Given that they go on to allow for oral testimony in support of a petition,</w:t>
      </w:r>
      <w:r>
        <w:rPr>
          <w:rStyle w:val="EndnoteReference"/>
          <w:sz w:val="28"/>
          <w:szCs w:val="28"/>
        </w:rPr>
        <w:endnoteReference w:id="112"/>
      </w:r>
      <w:r>
        <w:rPr>
          <w:sz w:val="28"/>
          <w:szCs w:val="28"/>
        </w:rPr>
        <w:t xml:space="preserve"> it is lucky that none of this came to pass, as the Council’s meetings might have gotten a bit long.</w:t>
      </w:r>
    </w:p>
    <w:p w14:paraId="5738CEEC" w14:textId="77777777" w:rsidR="00A97A17" w:rsidRDefault="00A97A17" w:rsidP="00A97A17">
      <w:pPr>
        <w:rPr>
          <w:sz w:val="28"/>
          <w:szCs w:val="28"/>
        </w:rPr>
      </w:pPr>
    </w:p>
    <w:p w14:paraId="39671597" w14:textId="77777777" w:rsidR="00A97A17" w:rsidRDefault="00A97A17" w:rsidP="00A97A17">
      <w:pPr>
        <w:rPr>
          <w:sz w:val="28"/>
          <w:szCs w:val="28"/>
        </w:rPr>
      </w:pPr>
      <w:r>
        <w:rPr>
          <w:sz w:val="28"/>
          <w:szCs w:val="28"/>
        </w:rPr>
        <w:t xml:space="preserve"> After almost settling the question of the Statute, there was yet one more indignity for the TC concerning Jerusalem.  The GA instructed them to take up the problem of the protection of the city and its inhabitants on 26 April.</w:t>
      </w:r>
      <w:r>
        <w:rPr>
          <w:rStyle w:val="EndnoteReference"/>
          <w:sz w:val="28"/>
          <w:szCs w:val="28"/>
        </w:rPr>
        <w:endnoteReference w:id="113"/>
      </w:r>
      <w:r>
        <w:rPr>
          <w:sz w:val="28"/>
          <w:szCs w:val="28"/>
        </w:rPr>
        <w:t xml:space="preserve">  It is unclear why they were given the task, as it seems to have nothing to do with their purview, but they were a relatively inactive committee, and Ralph Bunche was the committee secretary.  He had been on the UNSCOP trip, and so knew more about the problems in Palestine than most.  At meetings 36-46, 21 April 1948-4 May 1948, as the city descended further into chaos, the committee approached the issue.  </w:t>
      </w:r>
    </w:p>
    <w:p w14:paraId="42B4243D" w14:textId="77777777" w:rsidR="00A97A17" w:rsidRDefault="00A97A17" w:rsidP="00A97A17">
      <w:pPr>
        <w:rPr>
          <w:sz w:val="28"/>
          <w:szCs w:val="28"/>
        </w:rPr>
      </w:pPr>
    </w:p>
    <w:p w14:paraId="13DEFE99" w14:textId="77777777" w:rsidR="00A97A17" w:rsidRDefault="00A97A17" w:rsidP="00A97A17">
      <w:pPr>
        <w:rPr>
          <w:sz w:val="28"/>
          <w:szCs w:val="28"/>
        </w:rPr>
      </w:pPr>
      <w:r>
        <w:rPr>
          <w:sz w:val="28"/>
          <w:szCs w:val="28"/>
        </w:rPr>
        <w:t xml:space="preserve">This was a very different sort of discussion than those about the Statute.  Law wasn’t the issue, but rather the immediate problem of war in the city.  There was no way around the fact of the UN’s impotence, and the delegates recognized it.  They also recognized that they would need the cooperation of both communities, as any number of troops that they might put in would be too small to do the </w:t>
      </w:r>
      <w:r>
        <w:rPr>
          <w:sz w:val="28"/>
          <w:szCs w:val="28"/>
        </w:rPr>
        <w:lastRenderedPageBreak/>
        <w:t>job.</w:t>
      </w:r>
      <w:r>
        <w:rPr>
          <w:rStyle w:val="EndnoteReference"/>
          <w:sz w:val="28"/>
          <w:szCs w:val="28"/>
        </w:rPr>
        <w:endnoteReference w:id="114"/>
      </w:r>
      <w:r>
        <w:rPr>
          <w:sz w:val="28"/>
          <w:szCs w:val="28"/>
        </w:rPr>
        <w:t xml:space="preserve">  Unlike many earlier UN meetings, both the Jewish Agency and the Arab High Command sent representatives to speak.  The meetings were entirely inconclusive.  Without a UN force, there was no point and they understood that they had failed.</w:t>
      </w:r>
      <w:r>
        <w:rPr>
          <w:rStyle w:val="EndnoteReference"/>
          <w:sz w:val="28"/>
          <w:szCs w:val="28"/>
        </w:rPr>
        <w:endnoteReference w:id="115"/>
      </w:r>
      <w:r>
        <w:rPr>
          <w:sz w:val="28"/>
          <w:szCs w:val="28"/>
        </w:rPr>
        <w:t xml:space="preserve">  They realized that they were leaving behind a vacuum of power and authority, and that even if they had managed to pass something, there would be no legal basis for it on May 16.</w:t>
      </w:r>
      <w:r>
        <w:rPr>
          <w:rStyle w:val="EndnoteReference"/>
          <w:sz w:val="28"/>
          <w:szCs w:val="28"/>
        </w:rPr>
        <w:endnoteReference w:id="116"/>
      </w:r>
      <w:r>
        <w:rPr>
          <w:sz w:val="28"/>
          <w:szCs w:val="28"/>
        </w:rPr>
        <w:t xml:space="preserve">  While they managed to get the parties to agree to a short-lived cease-fire, they knew that it was only for the Old City, and that, in the broader context, it couldn’t last.</w:t>
      </w:r>
      <w:r>
        <w:rPr>
          <w:rStyle w:val="EndnoteReference"/>
          <w:sz w:val="28"/>
          <w:szCs w:val="28"/>
        </w:rPr>
        <w:endnoteReference w:id="117"/>
      </w:r>
      <w:r>
        <w:rPr>
          <w:sz w:val="28"/>
          <w:szCs w:val="28"/>
        </w:rPr>
        <w:t xml:space="preserve">  They also created a Special Municipal Commissioner to stabilize municipal administration.   Mr. Harold Evans, an American Quaker, got the job, but in Jerusalem he realized that he couldn’t do anything and left in a few days.</w:t>
      </w:r>
      <w:r>
        <w:rPr>
          <w:rStyle w:val="EndnoteReference"/>
          <w:sz w:val="28"/>
          <w:szCs w:val="28"/>
        </w:rPr>
        <w:endnoteReference w:id="118"/>
      </w:r>
      <w:r>
        <w:rPr>
          <w:sz w:val="28"/>
          <w:szCs w:val="28"/>
        </w:rPr>
        <w:t xml:space="preserve">  The most complete history of this episode, written by Pablo de </w:t>
      </w:r>
      <w:proofErr w:type="spellStart"/>
      <w:r>
        <w:rPr>
          <w:sz w:val="28"/>
          <w:szCs w:val="28"/>
        </w:rPr>
        <w:t>Azcarate</w:t>
      </w:r>
      <w:proofErr w:type="spellEnd"/>
      <w:r>
        <w:rPr>
          <w:sz w:val="28"/>
          <w:szCs w:val="28"/>
        </w:rPr>
        <w:t>, who held the post of Temporary Municipal Commissioner pending Evan’s arrival, describes it twice as a “cruel farce.”</w:t>
      </w:r>
      <w:r>
        <w:rPr>
          <w:rStyle w:val="EndnoteReference"/>
          <w:sz w:val="28"/>
          <w:szCs w:val="28"/>
        </w:rPr>
        <w:endnoteReference w:id="119"/>
      </w:r>
      <w:r>
        <w:rPr>
          <w:sz w:val="28"/>
          <w:szCs w:val="28"/>
        </w:rPr>
        <w:t xml:space="preserve">  The same could be said for all the UN efforts to protect the people of Jerusalem.</w:t>
      </w:r>
      <w:r>
        <w:rPr>
          <w:rStyle w:val="EndnoteReference"/>
          <w:sz w:val="28"/>
          <w:szCs w:val="28"/>
        </w:rPr>
        <w:endnoteReference w:id="120"/>
      </w:r>
      <w:r>
        <w:rPr>
          <w:sz w:val="28"/>
          <w:szCs w:val="28"/>
        </w:rPr>
        <w:t xml:space="preserve">  </w:t>
      </w:r>
    </w:p>
    <w:p w14:paraId="6CD9DD2A" w14:textId="77777777" w:rsidR="00A97A17" w:rsidRDefault="00A97A17" w:rsidP="00A97A17">
      <w:pPr>
        <w:rPr>
          <w:sz w:val="28"/>
          <w:szCs w:val="28"/>
        </w:rPr>
      </w:pPr>
    </w:p>
    <w:p w14:paraId="7D068D30" w14:textId="77777777" w:rsidR="00A97A17" w:rsidRDefault="00A97A17" w:rsidP="00A97A17">
      <w:pPr>
        <w:rPr>
          <w:sz w:val="28"/>
          <w:szCs w:val="28"/>
        </w:rPr>
      </w:pPr>
      <w:r>
        <w:rPr>
          <w:sz w:val="28"/>
          <w:szCs w:val="28"/>
        </w:rPr>
        <w:t>Because these meetings were before the war, the principal party’s interests reflected their concerns about the coming conflict.  The Jewish Agency was for internationalization,</w:t>
      </w:r>
      <w:r>
        <w:rPr>
          <w:rStyle w:val="EndnoteReference"/>
          <w:sz w:val="28"/>
          <w:szCs w:val="28"/>
        </w:rPr>
        <w:endnoteReference w:id="121"/>
      </w:r>
      <w:r>
        <w:rPr>
          <w:sz w:val="28"/>
          <w:szCs w:val="28"/>
        </w:rPr>
        <w:t xml:space="preserve"> and spoke for the passing of the statute so that there would be a legal basis for UN rule.  They were worried that Jerusalem, far from the coastal plains that they held, surrounded by Arab territory, and with 100,000 Jewish inhabitants, would be taken by Arab forces.  At that point, the internationalization of Jerusalem was a cost of achieving Partition and perhaps the best they could hope for in the city, so they wanted it taken seriously.  Once the UN had proven itself incapable of protecting the city and Israeli forces had defended it on their own, they were against internationalization.  Conversely, the Arab League, as represented by Iraq, and the Arab High Command, speaking for the Palestinian Arab community, were against any form of internationalization, as they thought that they would take the city in the coming war.  After the war, the Arab League would change sides to support internationalization in an effort to deny Jordan and Israel their holds on the divided city.  </w:t>
      </w:r>
    </w:p>
    <w:p w14:paraId="7F63713B" w14:textId="77777777" w:rsidR="00A97A17" w:rsidRDefault="00A97A17" w:rsidP="00A97A17">
      <w:pPr>
        <w:rPr>
          <w:sz w:val="28"/>
          <w:szCs w:val="28"/>
        </w:rPr>
      </w:pPr>
    </w:p>
    <w:p w14:paraId="24FBDBF2" w14:textId="77777777" w:rsidR="00A97A17" w:rsidRDefault="00A97A17" w:rsidP="00A97A17">
      <w:pPr>
        <w:rPr>
          <w:b/>
          <w:sz w:val="28"/>
          <w:szCs w:val="28"/>
        </w:rPr>
      </w:pPr>
      <w:r>
        <w:rPr>
          <w:b/>
          <w:sz w:val="28"/>
          <w:szCs w:val="28"/>
        </w:rPr>
        <w:t>The Discussions Move Back to the General Assembly</w:t>
      </w:r>
    </w:p>
    <w:p w14:paraId="6D31A1F6" w14:textId="77777777" w:rsidR="00A97A17" w:rsidRDefault="00A97A17" w:rsidP="00A97A17">
      <w:pPr>
        <w:rPr>
          <w:b/>
          <w:sz w:val="28"/>
          <w:szCs w:val="28"/>
        </w:rPr>
      </w:pPr>
    </w:p>
    <w:p w14:paraId="241F4C69" w14:textId="77777777" w:rsidR="00A97A17" w:rsidRDefault="00A97A17" w:rsidP="00A97A17">
      <w:pPr>
        <w:rPr>
          <w:sz w:val="28"/>
          <w:szCs w:val="28"/>
        </w:rPr>
      </w:pPr>
      <w:r>
        <w:rPr>
          <w:sz w:val="28"/>
          <w:szCs w:val="28"/>
        </w:rPr>
        <w:t xml:space="preserve">Once the TC had (nearly) finished its work, the GA weighed back in.  In the winters of 1948-49 and 1949-50 the GA reaffirmed its conviction that Jerusalem must be a </w:t>
      </w:r>
      <w:r>
        <w:rPr>
          <w:i/>
          <w:sz w:val="28"/>
          <w:szCs w:val="28"/>
        </w:rPr>
        <w:t xml:space="preserve">corpus separatum </w:t>
      </w:r>
      <w:r>
        <w:rPr>
          <w:sz w:val="28"/>
          <w:szCs w:val="28"/>
        </w:rPr>
        <w:t>ruled by the UN.</w:t>
      </w:r>
      <w:r>
        <w:rPr>
          <w:rStyle w:val="EndnoteReference"/>
          <w:sz w:val="28"/>
          <w:szCs w:val="28"/>
        </w:rPr>
        <w:endnoteReference w:id="122"/>
      </w:r>
      <w:r>
        <w:rPr>
          <w:sz w:val="28"/>
          <w:szCs w:val="28"/>
        </w:rPr>
        <w:t xml:space="preserve">  Simply put, nothing less than the </w:t>
      </w:r>
      <w:r>
        <w:rPr>
          <w:sz w:val="28"/>
          <w:szCs w:val="28"/>
        </w:rPr>
        <w:lastRenderedPageBreak/>
        <w:t>impossible would do.  With the war essentially over, though the armistices not yet signed, Israel and Jordan were in control of their parts of the city by mid-summer, 1948.  Israel announced that it would move government institutions there 20 December 1948, and it became the capital soon thereafter.</w:t>
      </w:r>
      <w:r>
        <w:rPr>
          <w:rStyle w:val="EndnoteReference"/>
          <w:sz w:val="28"/>
          <w:szCs w:val="28"/>
        </w:rPr>
        <w:endnoteReference w:id="123"/>
      </w:r>
      <w:r>
        <w:rPr>
          <w:sz w:val="28"/>
          <w:szCs w:val="28"/>
        </w:rPr>
        <w:t xml:space="preserve">   Jordan announced its intention to annex the West Bank in that winter as well.  Both nations were entirely clear that they rejected internationalization, and while officially enemies, they cooperated in opposing it at the UN.</w:t>
      </w:r>
      <w:r>
        <w:rPr>
          <w:rStyle w:val="EndnoteReference"/>
          <w:sz w:val="28"/>
          <w:szCs w:val="28"/>
        </w:rPr>
        <w:endnoteReference w:id="124"/>
      </w:r>
      <w:r>
        <w:rPr>
          <w:sz w:val="28"/>
          <w:szCs w:val="28"/>
        </w:rPr>
        <w:t xml:space="preserve">  </w:t>
      </w:r>
    </w:p>
    <w:p w14:paraId="5FC31D4D" w14:textId="77777777" w:rsidR="00A97A17" w:rsidRDefault="00A97A17" w:rsidP="00A97A17">
      <w:pPr>
        <w:rPr>
          <w:sz w:val="28"/>
          <w:szCs w:val="28"/>
        </w:rPr>
      </w:pPr>
    </w:p>
    <w:p w14:paraId="5B4805E9" w14:textId="77777777" w:rsidR="00A97A17" w:rsidRDefault="00A97A17" w:rsidP="00A97A17">
      <w:pPr>
        <w:rPr>
          <w:sz w:val="28"/>
          <w:szCs w:val="28"/>
        </w:rPr>
      </w:pPr>
      <w:r>
        <w:rPr>
          <w:sz w:val="28"/>
          <w:szCs w:val="28"/>
        </w:rPr>
        <w:t>Undeterred, the GA pressed on, and began by discarding the draft statute the TC wrote.  They gave the job of drafting a new statute to the Palestine Conciliation Commission (PCC), the Mediator’s successor.</w:t>
      </w:r>
      <w:r>
        <w:rPr>
          <w:rStyle w:val="EndnoteReference"/>
          <w:sz w:val="28"/>
          <w:szCs w:val="28"/>
        </w:rPr>
        <w:endnoteReference w:id="125"/>
      </w:r>
      <w:r>
        <w:rPr>
          <w:sz w:val="28"/>
          <w:szCs w:val="28"/>
        </w:rPr>
        <w:t xml:space="preserve">  The PCC produced a plan quite different from that of the TC, as it left Israel and Jordan to administer their </w:t>
      </w:r>
      <w:proofErr w:type="gramStart"/>
      <w:r>
        <w:rPr>
          <w:sz w:val="28"/>
          <w:szCs w:val="28"/>
        </w:rPr>
        <w:t>areas, and</w:t>
      </w:r>
      <w:proofErr w:type="gramEnd"/>
      <w:r>
        <w:rPr>
          <w:sz w:val="28"/>
          <w:szCs w:val="28"/>
        </w:rPr>
        <w:t xml:space="preserve"> placed a UN administrator to oversee the Holy Places.  No one liked this plan, and it was opposed by the Israelis and Jordanians, who claimed sovereignty, as well as by those for whom only internationalization would do. </w:t>
      </w:r>
    </w:p>
    <w:p w14:paraId="7517ADE8" w14:textId="77777777" w:rsidR="00A97A17" w:rsidRDefault="00A97A17" w:rsidP="00A97A17">
      <w:pPr>
        <w:rPr>
          <w:sz w:val="28"/>
          <w:szCs w:val="28"/>
        </w:rPr>
      </w:pPr>
    </w:p>
    <w:p w14:paraId="28779D8F" w14:textId="77777777" w:rsidR="00A97A17" w:rsidRDefault="00A97A17" w:rsidP="00A97A17">
      <w:pPr>
        <w:rPr>
          <w:sz w:val="28"/>
          <w:szCs w:val="28"/>
        </w:rPr>
      </w:pPr>
      <w:r>
        <w:rPr>
          <w:sz w:val="28"/>
          <w:szCs w:val="28"/>
        </w:rPr>
        <w:t>The bloc pressing for a strict form of internationalization was made up of Catholic States, Arab states (less Jordan) and the Soviet bloc.  This was an odd alliance.  The Vatican was active in pressing the matter on Catholic states, as it would increase their control of the city.</w:t>
      </w:r>
      <w:r>
        <w:rPr>
          <w:rStyle w:val="EndnoteReference"/>
          <w:sz w:val="28"/>
          <w:szCs w:val="28"/>
        </w:rPr>
        <w:endnoteReference w:id="126"/>
      </w:r>
      <w:r>
        <w:rPr>
          <w:sz w:val="28"/>
          <w:szCs w:val="28"/>
        </w:rPr>
        <w:t xml:space="preserve">  The Arab states saw it as a means to weaken both Israel and Jordan.</w:t>
      </w:r>
      <w:r>
        <w:rPr>
          <w:rStyle w:val="EndnoteReference"/>
          <w:sz w:val="28"/>
          <w:szCs w:val="28"/>
        </w:rPr>
        <w:endnoteReference w:id="127"/>
      </w:r>
      <w:r>
        <w:rPr>
          <w:sz w:val="28"/>
          <w:szCs w:val="28"/>
        </w:rPr>
        <w:t xml:space="preserve">  For the Soviet bloc, they seem to have thought that this was a way of supporting the letter of 181, the resolution affirming partition.  This bloc supported a Belgian </w:t>
      </w:r>
      <w:commentRangeStart w:id="0"/>
      <w:r>
        <w:rPr>
          <w:sz w:val="28"/>
          <w:szCs w:val="28"/>
        </w:rPr>
        <w:t>resolution</w:t>
      </w:r>
      <w:commentRangeEnd w:id="0"/>
      <w:r>
        <w:rPr>
          <w:rStyle w:val="CommentReference"/>
          <w:rFonts w:ascii="Times New Roman" w:eastAsia="Times New Roman" w:hAnsi="Times New Roman" w:cs="Times New Roman"/>
        </w:rPr>
        <w:commentReference w:id="0"/>
      </w:r>
      <w:r>
        <w:rPr>
          <w:sz w:val="28"/>
          <w:szCs w:val="28"/>
        </w:rPr>
        <w:t xml:space="preserve"> in both successive winters, that reconfirmed a </w:t>
      </w:r>
      <w:r>
        <w:rPr>
          <w:i/>
          <w:sz w:val="28"/>
          <w:szCs w:val="28"/>
        </w:rPr>
        <w:t xml:space="preserve">corpus </w:t>
      </w:r>
      <w:proofErr w:type="spellStart"/>
      <w:r>
        <w:rPr>
          <w:i/>
          <w:sz w:val="28"/>
          <w:szCs w:val="28"/>
        </w:rPr>
        <w:t>seperatum</w:t>
      </w:r>
      <w:proofErr w:type="spellEnd"/>
      <w:r>
        <w:rPr>
          <w:i/>
          <w:sz w:val="28"/>
          <w:szCs w:val="28"/>
        </w:rPr>
        <w:t xml:space="preserve"> </w:t>
      </w:r>
      <w:r>
        <w:rPr>
          <w:sz w:val="28"/>
          <w:szCs w:val="28"/>
        </w:rPr>
        <w:t xml:space="preserve">under UN control, as it was in resolution 181.  </w:t>
      </w:r>
    </w:p>
    <w:p w14:paraId="0FE44F98" w14:textId="77777777" w:rsidR="00A97A17" w:rsidRDefault="00A97A17" w:rsidP="00A97A17">
      <w:pPr>
        <w:rPr>
          <w:sz w:val="28"/>
          <w:szCs w:val="28"/>
        </w:rPr>
      </w:pPr>
    </w:p>
    <w:p w14:paraId="44CE2920" w14:textId="77777777" w:rsidR="00A97A17" w:rsidRDefault="00A97A17" w:rsidP="00A97A17">
      <w:pPr>
        <w:rPr>
          <w:sz w:val="28"/>
          <w:szCs w:val="28"/>
        </w:rPr>
      </w:pPr>
      <w:r>
        <w:rPr>
          <w:sz w:val="28"/>
          <w:szCs w:val="28"/>
        </w:rPr>
        <w:t>The alternative approach, offered by a Dutch and Swedish resolution, was called ‘functional internationalization’.  This recognized Israeli and Jordanian sovereignty over their respective areas of the city and created a UN post that would be responsible for issues around the Holy Places and no more.  The US, UK and most of Northern Europe supported this proposal, as they saw that it had some chance of being implemented and would protect religious access.</w:t>
      </w:r>
      <w:r>
        <w:rPr>
          <w:rStyle w:val="EndnoteReference"/>
          <w:sz w:val="28"/>
          <w:szCs w:val="28"/>
        </w:rPr>
        <w:endnoteReference w:id="128"/>
      </w:r>
      <w:r>
        <w:rPr>
          <w:sz w:val="28"/>
          <w:szCs w:val="28"/>
        </w:rPr>
        <w:t xml:space="preserve">  Israel supported it, with reservations.  Earlier, Jordan opposed the plan, but on 15 December 1950, changes were made to the proposal that satisfied Jordan’s reservations, and so the plan could have been fully implemented.</w:t>
      </w:r>
      <w:r>
        <w:rPr>
          <w:rStyle w:val="EndnoteReference"/>
          <w:sz w:val="28"/>
          <w:szCs w:val="28"/>
        </w:rPr>
        <w:endnoteReference w:id="129"/>
      </w:r>
      <w:r>
        <w:rPr>
          <w:sz w:val="28"/>
          <w:szCs w:val="28"/>
        </w:rPr>
        <w:t xml:space="preserve">  In both years, the Belgian resolution came up for a vote first, got a majority but not the necessary two-thirds, and this kept the Swedish resolution from ever coming up for a vote.  </w:t>
      </w:r>
      <w:proofErr w:type="spellStart"/>
      <w:r>
        <w:rPr>
          <w:sz w:val="28"/>
          <w:szCs w:val="28"/>
        </w:rPr>
        <w:t>Shwadran’s</w:t>
      </w:r>
      <w:proofErr w:type="spellEnd"/>
      <w:r>
        <w:rPr>
          <w:sz w:val="28"/>
          <w:szCs w:val="28"/>
        </w:rPr>
        <w:t xml:space="preserve"> final judgment is “… one reluctantly draws the conclusion that the </w:t>
      </w:r>
      <w:r>
        <w:rPr>
          <w:sz w:val="28"/>
          <w:szCs w:val="28"/>
        </w:rPr>
        <w:lastRenderedPageBreak/>
        <w:t>combination of the Arab-Moslem and Catholic groups was more eager to block the Swedish proposal than to reach a positive solution to the existing impasse.”</w:t>
      </w:r>
    </w:p>
    <w:p w14:paraId="340C7F3A" w14:textId="77777777" w:rsidR="00A97A17" w:rsidRDefault="00A97A17" w:rsidP="00A97A17">
      <w:pPr>
        <w:rPr>
          <w:sz w:val="28"/>
          <w:szCs w:val="28"/>
        </w:rPr>
      </w:pPr>
    </w:p>
    <w:p w14:paraId="5E799C4D" w14:textId="77777777" w:rsidR="00A97A17" w:rsidRDefault="00A97A17" w:rsidP="00A97A17">
      <w:pPr>
        <w:rPr>
          <w:sz w:val="28"/>
          <w:szCs w:val="28"/>
        </w:rPr>
      </w:pPr>
      <w:r>
        <w:rPr>
          <w:sz w:val="28"/>
          <w:szCs w:val="28"/>
        </w:rPr>
        <w:t>People with a sense of what was happening on the ground tended not to favor internationalization.  UN Mediator Bernadotte was clear in his first plan, which gave all of the city to the Jordanians, that he didn’t believe that an internationalized city could work.  “Having in mind the past fate as well as the uncertain prospects of other internationalized cities, Count Bernadotte departed in his outline of 27 June 1948 from the concept of internationalization…”</w:t>
      </w:r>
      <w:r>
        <w:rPr>
          <w:rStyle w:val="EndnoteReference"/>
          <w:sz w:val="28"/>
          <w:szCs w:val="28"/>
        </w:rPr>
        <w:endnoteReference w:id="130"/>
      </w:r>
      <w:r>
        <w:rPr>
          <w:sz w:val="28"/>
          <w:szCs w:val="28"/>
        </w:rPr>
        <w:t xml:space="preserve"> In his second plan, of 16 September 1948, with control more firmly in the hands of the two nations, he returned to internationalization.  </w:t>
      </w:r>
      <w:proofErr w:type="spellStart"/>
      <w:r>
        <w:rPr>
          <w:sz w:val="28"/>
          <w:szCs w:val="28"/>
        </w:rPr>
        <w:t>Mohn</w:t>
      </w:r>
      <w:proofErr w:type="spellEnd"/>
      <w:r>
        <w:rPr>
          <w:sz w:val="28"/>
          <w:szCs w:val="28"/>
        </w:rPr>
        <w:t xml:space="preserve"> writes a remarkably neutral article, but he writes of this period: “</w:t>
      </w:r>
      <w:r w:rsidRPr="003071B3">
        <w:rPr>
          <w:sz w:val="28"/>
          <w:szCs w:val="28"/>
        </w:rPr>
        <w:t>The General Assembly knew days of dramatic debate and inflamed oratory.</w:t>
      </w:r>
      <w:r>
        <w:rPr>
          <w:sz w:val="28"/>
          <w:szCs w:val="28"/>
        </w:rPr>
        <w:t>” which is a close as he gets to sarcasm.</w:t>
      </w:r>
      <w:r>
        <w:rPr>
          <w:rStyle w:val="EndnoteReference"/>
          <w:sz w:val="28"/>
          <w:szCs w:val="28"/>
        </w:rPr>
        <w:endnoteReference w:id="131"/>
      </w:r>
      <w:r>
        <w:rPr>
          <w:sz w:val="28"/>
          <w:szCs w:val="28"/>
        </w:rPr>
        <w:t xml:space="preserve">  The PCC plan made the Holy Places the only real sphere of control for the UN.  Roger </w:t>
      </w:r>
      <w:proofErr w:type="spellStart"/>
      <w:r>
        <w:rPr>
          <w:sz w:val="28"/>
          <w:szCs w:val="28"/>
        </w:rPr>
        <w:t>Garreau</w:t>
      </w:r>
      <w:proofErr w:type="spellEnd"/>
      <w:r>
        <w:rPr>
          <w:sz w:val="28"/>
          <w:szCs w:val="28"/>
        </w:rPr>
        <w:t>, president of the TC, proposed that the UN limit its control to portions of the Old City, excluding Moslem sites, but this was rejected by the TC as a whole.</w:t>
      </w:r>
      <w:r>
        <w:rPr>
          <w:rStyle w:val="EndnoteReference"/>
          <w:sz w:val="28"/>
          <w:szCs w:val="28"/>
        </w:rPr>
        <w:endnoteReference w:id="132"/>
      </w:r>
      <w:r>
        <w:rPr>
          <w:sz w:val="28"/>
          <w:szCs w:val="28"/>
        </w:rPr>
        <w:t xml:space="preserve">  McDonald dismisses the whole idea with “Thus, the demand that Jerusalem be internationalized was tantamount to the demand that the hands of the clock of history be turned back.”</w:t>
      </w:r>
      <w:r>
        <w:rPr>
          <w:rStyle w:val="EndnoteReference"/>
          <w:sz w:val="28"/>
          <w:szCs w:val="28"/>
        </w:rPr>
        <w:endnoteReference w:id="133"/>
      </w:r>
      <w:r>
        <w:rPr>
          <w:sz w:val="28"/>
          <w:szCs w:val="28"/>
        </w:rPr>
        <w:t xml:space="preserve">  Graves is dismissive of the UN: </w:t>
      </w:r>
      <w:r w:rsidRPr="00522B2B">
        <w:rPr>
          <w:sz w:val="28"/>
          <w:szCs w:val="28"/>
        </w:rPr>
        <w:t xml:space="preserve">“The UN has been unable to prevent the partial destruction of </w:t>
      </w:r>
      <w:r>
        <w:rPr>
          <w:sz w:val="28"/>
          <w:szCs w:val="28"/>
        </w:rPr>
        <w:t>Jerusalem</w:t>
      </w:r>
      <w:r w:rsidRPr="00522B2B">
        <w:rPr>
          <w:sz w:val="28"/>
          <w:szCs w:val="28"/>
        </w:rPr>
        <w:t>, and until they dispose of sufficient force to carry out their decisions, they might almost as well be non-existent.”</w:t>
      </w:r>
      <w:r>
        <w:rPr>
          <w:sz w:val="28"/>
          <w:szCs w:val="28"/>
        </w:rPr>
        <w:t xml:space="preserve">  He further doubted that an international enclave could be successful.</w:t>
      </w:r>
      <w:r>
        <w:rPr>
          <w:rStyle w:val="EndnoteReference"/>
          <w:sz w:val="28"/>
          <w:szCs w:val="28"/>
        </w:rPr>
        <w:endnoteReference w:id="134"/>
      </w:r>
      <w:r w:rsidRPr="00522B2B">
        <w:rPr>
          <w:sz w:val="28"/>
          <w:szCs w:val="28"/>
        </w:rPr>
        <w:t xml:space="preserve"> </w:t>
      </w:r>
      <w:r>
        <w:rPr>
          <w:sz w:val="28"/>
          <w:szCs w:val="28"/>
        </w:rPr>
        <w:t xml:space="preserve"> </w:t>
      </w:r>
      <w:proofErr w:type="spellStart"/>
      <w:r>
        <w:rPr>
          <w:sz w:val="28"/>
          <w:szCs w:val="28"/>
        </w:rPr>
        <w:t>Azcarate</w:t>
      </w:r>
      <w:proofErr w:type="spellEnd"/>
      <w:r>
        <w:rPr>
          <w:sz w:val="28"/>
          <w:szCs w:val="28"/>
        </w:rPr>
        <w:t xml:space="preserve"> is perhaps the only one to believe in the potential of the approach, but this is because it will be different from the precedents, as it will be based on spiritual values.</w:t>
      </w:r>
      <w:r>
        <w:rPr>
          <w:rStyle w:val="EndnoteReference"/>
          <w:sz w:val="28"/>
          <w:szCs w:val="28"/>
        </w:rPr>
        <w:endnoteReference w:id="135"/>
      </w:r>
      <w:r>
        <w:rPr>
          <w:sz w:val="28"/>
          <w:szCs w:val="28"/>
        </w:rPr>
        <w:t xml:space="preserve">  </w:t>
      </w:r>
      <w:proofErr w:type="spellStart"/>
      <w:r>
        <w:rPr>
          <w:sz w:val="28"/>
          <w:szCs w:val="28"/>
        </w:rPr>
        <w:t>Azcarate</w:t>
      </w:r>
      <w:proofErr w:type="spellEnd"/>
      <w:r>
        <w:rPr>
          <w:sz w:val="28"/>
          <w:szCs w:val="28"/>
        </w:rPr>
        <w:t xml:space="preserve"> lived in the Middle East 1948-1952 and held four different jobs for the UN.  Most of that time he lived in Jerusalem, and usually, he is quite realistic.</w:t>
      </w:r>
    </w:p>
    <w:p w14:paraId="7A6E13B4" w14:textId="77777777" w:rsidR="00A97A17" w:rsidRDefault="00A97A17" w:rsidP="00A97A17">
      <w:pPr>
        <w:rPr>
          <w:sz w:val="28"/>
          <w:szCs w:val="28"/>
        </w:rPr>
      </w:pPr>
    </w:p>
    <w:p w14:paraId="6BF6E982" w14:textId="77777777" w:rsidR="00A97A17" w:rsidRPr="00CB3680" w:rsidRDefault="00A97A17" w:rsidP="00A97A17">
      <w:pPr>
        <w:rPr>
          <w:sz w:val="28"/>
          <w:szCs w:val="28"/>
        </w:rPr>
      </w:pPr>
      <w:r>
        <w:rPr>
          <w:sz w:val="28"/>
          <w:szCs w:val="28"/>
        </w:rPr>
        <w:t xml:space="preserve">If these were the judgments of more objective actors, little wonder that more interested writers are damning.  Abba </w:t>
      </w:r>
      <w:proofErr w:type="spellStart"/>
      <w:r>
        <w:rPr>
          <w:sz w:val="28"/>
          <w:szCs w:val="28"/>
        </w:rPr>
        <w:t>Eban</w:t>
      </w:r>
      <w:proofErr w:type="spellEnd"/>
      <w:r>
        <w:rPr>
          <w:sz w:val="28"/>
          <w:szCs w:val="28"/>
        </w:rPr>
        <w:t>, Israel’s ambassador to the UN, wrote</w:t>
      </w:r>
      <w:r w:rsidRPr="001566F5">
        <w:rPr>
          <w:sz w:val="28"/>
          <w:szCs w:val="28"/>
        </w:rPr>
        <w:t xml:space="preserve"> “The idea of a separate international regime for </w:t>
      </w:r>
      <w:r>
        <w:rPr>
          <w:sz w:val="28"/>
          <w:szCs w:val="28"/>
        </w:rPr>
        <w:t>Jerusalem</w:t>
      </w:r>
      <w:r w:rsidRPr="001566F5">
        <w:rPr>
          <w:sz w:val="28"/>
          <w:szCs w:val="28"/>
        </w:rPr>
        <w:t xml:space="preserve"> has always been a fantasy and its bizarre anomalies have been exposed in every attempt to put it into effect.  It rests on a false picture both of </w:t>
      </w:r>
      <w:r>
        <w:rPr>
          <w:sz w:val="28"/>
          <w:szCs w:val="28"/>
        </w:rPr>
        <w:t>Jerusalem</w:t>
      </w:r>
      <w:r w:rsidRPr="001566F5">
        <w:rPr>
          <w:sz w:val="28"/>
          <w:szCs w:val="28"/>
        </w:rPr>
        <w:t xml:space="preserve"> and of the UN.”</w:t>
      </w:r>
      <w:r>
        <w:rPr>
          <w:rStyle w:val="EndnoteReference"/>
          <w:sz w:val="28"/>
          <w:szCs w:val="28"/>
        </w:rPr>
        <w:endnoteReference w:id="136"/>
      </w:r>
      <w:r>
        <w:rPr>
          <w:sz w:val="28"/>
          <w:szCs w:val="28"/>
        </w:rPr>
        <w:t xml:space="preserve">  Chapman, who largely follows the Zionist line, sums up: </w:t>
      </w:r>
      <w:r w:rsidRPr="0098317D">
        <w:rPr>
          <w:iCs/>
          <w:sz w:val="28"/>
          <w:szCs w:val="28"/>
        </w:rPr>
        <w:t>“Is it not plain that this talk of internationalization is an ecclesiastic-imperialist "racket"?”</w:t>
      </w:r>
      <w:r>
        <w:rPr>
          <w:rStyle w:val="EndnoteReference"/>
          <w:iCs/>
          <w:sz w:val="28"/>
          <w:szCs w:val="28"/>
        </w:rPr>
        <w:endnoteReference w:id="137"/>
      </w:r>
      <w:r>
        <w:rPr>
          <w:iCs/>
          <w:sz w:val="28"/>
          <w:szCs w:val="28"/>
        </w:rPr>
        <w:t xml:space="preserve">  (And this coming from clergy!)   </w:t>
      </w:r>
      <w:proofErr w:type="spellStart"/>
      <w:r>
        <w:rPr>
          <w:iCs/>
          <w:sz w:val="28"/>
          <w:szCs w:val="28"/>
        </w:rPr>
        <w:t>Shwadran</w:t>
      </w:r>
      <w:proofErr w:type="spellEnd"/>
      <w:r>
        <w:rPr>
          <w:iCs/>
          <w:sz w:val="28"/>
          <w:szCs w:val="28"/>
        </w:rPr>
        <w:t xml:space="preserve"> opens his article with “The United Nations committed itself on the issue of Jerusalem to undertakings which it was not in a </w:t>
      </w:r>
      <w:r>
        <w:rPr>
          <w:iCs/>
          <w:sz w:val="28"/>
          <w:szCs w:val="28"/>
        </w:rPr>
        <w:lastRenderedPageBreak/>
        <w:t>position to fulfill.”</w:t>
      </w:r>
      <w:r>
        <w:rPr>
          <w:rStyle w:val="EndnoteReference"/>
          <w:iCs/>
          <w:sz w:val="28"/>
          <w:szCs w:val="28"/>
        </w:rPr>
        <w:endnoteReference w:id="138"/>
      </w:r>
      <w:r>
        <w:rPr>
          <w:iCs/>
          <w:sz w:val="28"/>
          <w:szCs w:val="28"/>
        </w:rPr>
        <w:t xml:space="preserve">  Few trusted the possibility, and its advocates were a varied bunch.  The Arabs were openly committed to continuing conflict with Israel until they wiped it out, so there is little reason to think that they were seeking peace in Jerusalem, either.  On 17 April 1950, the USSR withdrew its support from the issue, meaning that for the moment, the push for internationalization was over. </w:t>
      </w:r>
    </w:p>
    <w:p w14:paraId="7A6909A6" w14:textId="77777777" w:rsidR="00A97A17" w:rsidRDefault="00A97A17" w:rsidP="00A97A17">
      <w:pPr>
        <w:rPr>
          <w:iCs/>
          <w:sz w:val="28"/>
          <w:szCs w:val="28"/>
        </w:rPr>
      </w:pPr>
    </w:p>
    <w:p w14:paraId="2AA41506" w14:textId="77777777" w:rsidR="00A97A17" w:rsidRDefault="00A97A17" w:rsidP="00A97A17">
      <w:pPr>
        <w:rPr>
          <w:iCs/>
          <w:sz w:val="28"/>
          <w:szCs w:val="28"/>
        </w:rPr>
      </w:pPr>
      <w:r>
        <w:rPr>
          <w:iCs/>
          <w:sz w:val="28"/>
          <w:szCs w:val="28"/>
        </w:rPr>
        <w:t xml:space="preserve">During the 1948-67 period, both the Israeli and Jordanian governments had strong motivations for allowing foreign Christian pilgrims to have access to the Holy Places.  The aims of functional internationalization were thus achieved without any internationalization.  During this time, the international community generally lost interest in the issue and the divided city was largely accepted.  It was only with Israel’s conquest of the whole city in 1967 that the issue became interesting again and has remained an object of activism ever </w:t>
      </w:r>
      <w:commentRangeStart w:id="1"/>
      <w:r>
        <w:rPr>
          <w:iCs/>
          <w:sz w:val="28"/>
          <w:szCs w:val="28"/>
        </w:rPr>
        <w:t>since</w:t>
      </w:r>
      <w:commentRangeEnd w:id="1"/>
      <w:r>
        <w:rPr>
          <w:rStyle w:val="CommentReference"/>
          <w:rFonts w:ascii="Times New Roman" w:eastAsia="Times New Roman" w:hAnsi="Times New Roman" w:cs="Times New Roman"/>
        </w:rPr>
        <w:commentReference w:id="1"/>
      </w:r>
      <w:r>
        <w:rPr>
          <w:iCs/>
          <w:sz w:val="28"/>
          <w:szCs w:val="28"/>
        </w:rPr>
        <w:t xml:space="preserve">.     </w:t>
      </w:r>
    </w:p>
    <w:p w14:paraId="73C75A6C" w14:textId="77777777" w:rsidR="00A97A17" w:rsidRDefault="00A97A17" w:rsidP="00A97A17">
      <w:pPr>
        <w:rPr>
          <w:iCs/>
          <w:sz w:val="28"/>
          <w:szCs w:val="28"/>
        </w:rPr>
      </w:pPr>
    </w:p>
    <w:p w14:paraId="41E4D9DF" w14:textId="77777777" w:rsidR="00A97A17" w:rsidRDefault="00A97A17" w:rsidP="00A97A17">
      <w:pPr>
        <w:rPr>
          <w:iCs/>
          <w:sz w:val="28"/>
          <w:szCs w:val="28"/>
        </w:rPr>
      </w:pPr>
      <w:r>
        <w:rPr>
          <w:iCs/>
          <w:sz w:val="28"/>
          <w:szCs w:val="28"/>
        </w:rPr>
        <w:t>It is instructive to look at the two drafts the TC prepared for the GA of the Statute.  While most of the material is the same in T/118, revision 2 of 21 April 1948 and T/592 of 4 April 1950, there are meaningful differences.  The largest is that in the later statute, the Council accepted the French proposal for the legislative council.</w:t>
      </w:r>
      <w:r>
        <w:rPr>
          <w:rStyle w:val="EndnoteReference"/>
          <w:iCs/>
          <w:sz w:val="28"/>
          <w:szCs w:val="28"/>
        </w:rPr>
        <w:endnoteReference w:id="139"/>
      </w:r>
      <w:r>
        <w:rPr>
          <w:iCs/>
          <w:sz w:val="28"/>
          <w:szCs w:val="28"/>
        </w:rPr>
        <w:t xml:space="preserve">   In T/118, the division between communities was between Arabs and Jews, and each had 18 representatives, with another one or 2 from those unaffiliated with either community </w:t>
      </w:r>
      <w:proofErr w:type="gramStart"/>
      <w:r>
        <w:rPr>
          <w:iCs/>
          <w:sz w:val="28"/>
          <w:szCs w:val="28"/>
        </w:rPr>
        <w:t>and</w:t>
      </w:r>
      <w:proofErr w:type="gramEnd"/>
      <w:r>
        <w:rPr>
          <w:iCs/>
          <w:sz w:val="28"/>
          <w:szCs w:val="28"/>
        </w:rPr>
        <w:t xml:space="preserve"> then the rest at large, giving a roughly 50-50 split.  T/592, however, split the communities by religion, giving 8 representatives each to Moslem, Christian and Jewish communities, 1 to the unaffiliated, and then 5 each to be appointed by community heads.  This, given that a large majority of the Christian community were Arabs or affiliated with them, meant that the Arab community would have held about 2/3 of the seats.</w:t>
      </w:r>
      <w:r>
        <w:rPr>
          <w:rStyle w:val="EndnoteReference"/>
          <w:iCs/>
          <w:sz w:val="28"/>
          <w:szCs w:val="28"/>
        </w:rPr>
        <w:endnoteReference w:id="140"/>
      </w:r>
      <w:r>
        <w:rPr>
          <w:iCs/>
          <w:sz w:val="28"/>
          <w:szCs w:val="28"/>
        </w:rPr>
        <w:t xml:space="preserve">  Another change is that T/118, art.14 requires that police forces cannot be recruited from residents or citizens of the city, or the Arab or Jewish state, while none of this exists in T/592 art.15.  This gives the government a freer </w:t>
      </w:r>
      <w:proofErr w:type="gramStart"/>
      <w:r>
        <w:rPr>
          <w:iCs/>
          <w:sz w:val="28"/>
          <w:szCs w:val="28"/>
        </w:rPr>
        <w:t>hand, but</w:t>
      </w:r>
      <w:proofErr w:type="gramEnd"/>
      <w:r>
        <w:rPr>
          <w:iCs/>
          <w:sz w:val="28"/>
          <w:szCs w:val="28"/>
        </w:rPr>
        <w:t xml:space="preserve"> opens up the possibility of members of one community being sent into another community to keep order, which would have been explosive.  Graves, in his plan for a pacified city makes it clear that the communities must be separate and must police themselves.</w:t>
      </w:r>
      <w:r>
        <w:rPr>
          <w:rStyle w:val="EndnoteReference"/>
          <w:iCs/>
          <w:sz w:val="28"/>
          <w:szCs w:val="28"/>
        </w:rPr>
        <w:endnoteReference w:id="141"/>
      </w:r>
      <w:r>
        <w:rPr>
          <w:iCs/>
          <w:sz w:val="28"/>
          <w:szCs w:val="28"/>
        </w:rPr>
        <w:t xml:space="preserve">  Another difference is that in the article on the evaluation after ten years, T/118 reads </w:t>
      </w:r>
      <w:r w:rsidRPr="007C2545">
        <w:rPr>
          <w:iCs/>
          <w:sz w:val="28"/>
          <w:szCs w:val="28"/>
        </w:rPr>
        <w:t>“shall be subject to reexamination by the TC in the light of the experience acquired with its functioning</w:t>
      </w:r>
      <w:r>
        <w:rPr>
          <w:iCs/>
          <w:sz w:val="28"/>
          <w:szCs w:val="28"/>
        </w:rPr>
        <w:t>.</w:t>
      </w:r>
      <w:r w:rsidRPr="007C2545">
        <w:rPr>
          <w:iCs/>
          <w:sz w:val="28"/>
          <w:szCs w:val="28"/>
        </w:rPr>
        <w:t>”</w:t>
      </w:r>
      <w:r>
        <w:rPr>
          <w:iCs/>
          <w:sz w:val="28"/>
          <w:szCs w:val="28"/>
        </w:rPr>
        <w:t xml:space="preserve">  T/592 removes this, leaving no criteria for judgement.</w:t>
      </w:r>
      <w:r>
        <w:rPr>
          <w:rStyle w:val="EndnoteReference"/>
          <w:iCs/>
          <w:sz w:val="28"/>
          <w:szCs w:val="28"/>
        </w:rPr>
        <w:endnoteReference w:id="142"/>
      </w:r>
      <w:r>
        <w:rPr>
          <w:iCs/>
          <w:sz w:val="28"/>
          <w:szCs w:val="28"/>
        </w:rPr>
        <w:t xml:space="preserve"> There are other differences, but in general, T/592 is more internationalist, separating the city from the nations around it, not </w:t>
      </w:r>
      <w:r>
        <w:rPr>
          <w:iCs/>
          <w:sz w:val="28"/>
          <w:szCs w:val="28"/>
        </w:rPr>
        <w:lastRenderedPageBreak/>
        <w:t xml:space="preserve">recognizing their interests in the city, and gives the UN government more power.  Perhaps it is best to say that it was written by a committee that knew it wouldn’t be implemented, and so didn’t need to make compromises to accommodate the situation.  Untethered to reality, they could write what they wanted.  </w:t>
      </w:r>
    </w:p>
    <w:p w14:paraId="03870493" w14:textId="77777777" w:rsidR="00A97A17" w:rsidRDefault="00A97A17" w:rsidP="00A97A17">
      <w:pPr>
        <w:rPr>
          <w:iCs/>
          <w:sz w:val="28"/>
          <w:szCs w:val="28"/>
        </w:rPr>
      </w:pPr>
      <w:r>
        <w:rPr>
          <w:iCs/>
          <w:sz w:val="28"/>
          <w:szCs w:val="28"/>
        </w:rPr>
        <w:t xml:space="preserve"> </w:t>
      </w:r>
    </w:p>
    <w:p w14:paraId="6DC73698" w14:textId="77777777" w:rsidR="00A97A17" w:rsidRDefault="00A97A17" w:rsidP="00A97A17">
      <w:pPr>
        <w:rPr>
          <w:iCs/>
          <w:sz w:val="28"/>
          <w:szCs w:val="28"/>
        </w:rPr>
      </w:pPr>
    </w:p>
    <w:p w14:paraId="0E865218" w14:textId="77777777" w:rsidR="00A97A17" w:rsidRDefault="00A97A17" w:rsidP="00A97A17">
      <w:pPr>
        <w:rPr>
          <w:iCs/>
          <w:sz w:val="28"/>
          <w:szCs w:val="28"/>
        </w:rPr>
      </w:pPr>
    </w:p>
    <w:p w14:paraId="52081359" w14:textId="77777777" w:rsidR="00A97A17" w:rsidRDefault="00A97A17" w:rsidP="00A97A17">
      <w:pPr>
        <w:rPr>
          <w:b/>
          <w:iCs/>
          <w:sz w:val="28"/>
          <w:szCs w:val="28"/>
        </w:rPr>
      </w:pPr>
      <w:r>
        <w:rPr>
          <w:b/>
          <w:iCs/>
          <w:sz w:val="28"/>
          <w:szCs w:val="28"/>
        </w:rPr>
        <w:t>Both Internationalized and Defenseless</w:t>
      </w:r>
    </w:p>
    <w:p w14:paraId="1ADB12C1" w14:textId="77777777" w:rsidR="00A97A17" w:rsidRDefault="00A97A17" w:rsidP="00A97A17">
      <w:pPr>
        <w:rPr>
          <w:iCs/>
          <w:sz w:val="28"/>
          <w:szCs w:val="28"/>
        </w:rPr>
      </w:pPr>
    </w:p>
    <w:p w14:paraId="616B2C49" w14:textId="77777777" w:rsidR="00A97A17" w:rsidRDefault="00A97A17" w:rsidP="00A97A17">
      <w:pPr>
        <w:rPr>
          <w:iCs/>
          <w:sz w:val="28"/>
          <w:szCs w:val="28"/>
        </w:rPr>
      </w:pPr>
      <w:r>
        <w:rPr>
          <w:iCs/>
          <w:sz w:val="28"/>
          <w:szCs w:val="28"/>
        </w:rPr>
        <w:t>All of the UN’s plans for Jerusalem included the idea that it would be demilitarized as a fundamental part of UN rule.</w:t>
      </w:r>
      <w:r>
        <w:rPr>
          <w:rStyle w:val="EndnoteReference"/>
          <w:iCs/>
          <w:sz w:val="28"/>
          <w:szCs w:val="28"/>
        </w:rPr>
        <w:endnoteReference w:id="143"/>
      </w:r>
      <w:r>
        <w:rPr>
          <w:iCs/>
          <w:sz w:val="28"/>
          <w:szCs w:val="28"/>
        </w:rPr>
        <w:t xml:space="preserve">  Demilitarization, at that point in history, was actually rather </w:t>
      </w:r>
      <w:proofErr w:type="gramStart"/>
      <w:r>
        <w:rPr>
          <w:iCs/>
          <w:sz w:val="28"/>
          <w:szCs w:val="28"/>
        </w:rPr>
        <w:t>wide-spread</w:t>
      </w:r>
      <w:proofErr w:type="gramEnd"/>
      <w:r>
        <w:rPr>
          <w:iCs/>
          <w:sz w:val="28"/>
          <w:szCs w:val="28"/>
        </w:rPr>
        <w:t>.  All of the former Axis nations were officially demilitarized, so diplomats understood what it meant.  In all those cases, it was the state under occupation that was demilitarized, but in no way did it mean that there was no military presence.  Those were all states under military occupation; they were full of soldiers and arms, but none of them belonged to the state, only to the occupiers.  Armies of occupation served many duties: they kept the old regimes from reforming, allowed the populations to know that they had in fact been defeated, kept order, constituted the governments, and were involved in reconstruction of economies and infrastructure.</w:t>
      </w:r>
      <w:r>
        <w:rPr>
          <w:rStyle w:val="EndnoteReference"/>
          <w:iCs/>
          <w:sz w:val="28"/>
          <w:szCs w:val="28"/>
        </w:rPr>
        <w:endnoteReference w:id="144"/>
      </w:r>
      <w:r>
        <w:rPr>
          <w:iCs/>
          <w:sz w:val="28"/>
          <w:szCs w:val="28"/>
        </w:rPr>
        <w:t xml:space="preserve">  Demilitarization meant that defeated nations had lost the right of independent governance and self-defense and was imposed within articles of surrender, meaning that it was a peacetime condition, beginning after the conflict was over.  In all cases, it was implemented by states, not the international community.  </w:t>
      </w:r>
    </w:p>
    <w:p w14:paraId="678ED2DF" w14:textId="77777777" w:rsidR="00A97A17" w:rsidRDefault="00A97A17" w:rsidP="00A97A17">
      <w:pPr>
        <w:rPr>
          <w:iCs/>
          <w:sz w:val="28"/>
          <w:szCs w:val="28"/>
        </w:rPr>
      </w:pPr>
    </w:p>
    <w:p w14:paraId="6D3C937E" w14:textId="77777777" w:rsidR="00A97A17" w:rsidRDefault="00A97A17" w:rsidP="00A97A17">
      <w:pPr>
        <w:rPr>
          <w:iCs/>
          <w:sz w:val="28"/>
          <w:szCs w:val="28"/>
        </w:rPr>
      </w:pPr>
      <w:r>
        <w:rPr>
          <w:iCs/>
          <w:sz w:val="28"/>
          <w:szCs w:val="28"/>
        </w:rPr>
        <w:t xml:space="preserve">None of this was true in the concept of demilitarization for Jerusalem; as usual, its application was </w:t>
      </w:r>
      <w:r>
        <w:rPr>
          <w:i/>
          <w:iCs/>
          <w:sz w:val="28"/>
          <w:szCs w:val="28"/>
        </w:rPr>
        <w:t>sui generis.</w:t>
      </w:r>
      <w:r w:rsidRPr="00920D07">
        <w:rPr>
          <w:rStyle w:val="EndnoteReference"/>
          <w:iCs/>
          <w:sz w:val="28"/>
          <w:szCs w:val="28"/>
        </w:rPr>
        <w:t xml:space="preserve"> </w:t>
      </w:r>
      <w:r>
        <w:rPr>
          <w:rStyle w:val="EndnoteReference"/>
          <w:iCs/>
          <w:sz w:val="28"/>
          <w:szCs w:val="28"/>
        </w:rPr>
        <w:endnoteReference w:id="145"/>
      </w:r>
      <w:r>
        <w:rPr>
          <w:iCs/>
          <w:sz w:val="28"/>
          <w:szCs w:val="28"/>
        </w:rPr>
        <w:t xml:space="preserve"> </w:t>
      </w:r>
      <w:r>
        <w:rPr>
          <w:i/>
          <w:iCs/>
          <w:sz w:val="28"/>
          <w:szCs w:val="28"/>
        </w:rPr>
        <w:t xml:space="preserve"> </w:t>
      </w:r>
      <w:r>
        <w:rPr>
          <w:iCs/>
          <w:sz w:val="28"/>
          <w:szCs w:val="28"/>
        </w:rPr>
        <w:t>The city wasn’t a defeated belligerent, the UN wasn’t a victorious occupying power, the city wouldn’t have been a state and demilitarization was being imposed during an active state of war.</w:t>
      </w:r>
      <w:r>
        <w:rPr>
          <w:rStyle w:val="EndnoteReference"/>
          <w:iCs/>
          <w:sz w:val="28"/>
          <w:szCs w:val="28"/>
        </w:rPr>
        <w:endnoteReference w:id="146"/>
      </w:r>
      <w:r>
        <w:rPr>
          <w:iCs/>
          <w:sz w:val="28"/>
          <w:szCs w:val="28"/>
        </w:rPr>
        <w:t xml:space="preserve"> While the UN always seems to have assumed that it could declare a demilitarized zone, under these conditions, it would have been entirely unique.  </w:t>
      </w:r>
      <w:r w:rsidRPr="008A5303">
        <w:rPr>
          <w:iCs/>
          <w:sz w:val="28"/>
          <w:szCs w:val="28"/>
        </w:rPr>
        <w:t>Oppenheim,</w:t>
      </w:r>
      <w:r>
        <w:rPr>
          <w:iCs/>
          <w:sz w:val="28"/>
          <w:szCs w:val="28"/>
        </w:rPr>
        <w:t xml:space="preserve"> a standard treatise of international law at the time, has no entry for demilitarization.  He offers a short definition in a footnote: “…</w:t>
      </w:r>
      <w:r w:rsidRPr="009E46DB">
        <w:rPr>
          <w:i/>
          <w:iCs/>
          <w:sz w:val="28"/>
          <w:szCs w:val="28"/>
        </w:rPr>
        <w:t xml:space="preserve">demilitarization, </w:t>
      </w:r>
      <w:r w:rsidRPr="009E46DB">
        <w:rPr>
          <w:iCs/>
          <w:sz w:val="28"/>
          <w:szCs w:val="28"/>
        </w:rPr>
        <w:t>which denotes the agreement of two or more States by treaty not to fortify, or station troops upon, a particular zone of territory; the purpose usually being to prevent war by removing the opportunities of conflict…”</w:t>
      </w:r>
      <w:r>
        <w:rPr>
          <w:rStyle w:val="EndnoteReference"/>
          <w:iCs/>
          <w:sz w:val="28"/>
          <w:szCs w:val="28"/>
        </w:rPr>
        <w:endnoteReference w:id="147"/>
      </w:r>
      <w:r>
        <w:rPr>
          <w:iCs/>
          <w:sz w:val="28"/>
          <w:szCs w:val="28"/>
        </w:rPr>
        <w:t xml:space="preserve">  Given that it was clear that neither Israel nor </w:t>
      </w:r>
      <w:r>
        <w:rPr>
          <w:iCs/>
          <w:sz w:val="28"/>
          <w:szCs w:val="28"/>
        </w:rPr>
        <w:lastRenderedPageBreak/>
        <w:t>Jordan were going to agree, a demilitarized Jerusalem should have been a lost cause from the start.</w:t>
      </w:r>
      <w:r>
        <w:rPr>
          <w:rStyle w:val="EndnoteReference"/>
          <w:iCs/>
          <w:sz w:val="28"/>
          <w:szCs w:val="28"/>
        </w:rPr>
        <w:endnoteReference w:id="148"/>
      </w:r>
      <w:r>
        <w:rPr>
          <w:iCs/>
          <w:sz w:val="28"/>
          <w:szCs w:val="28"/>
        </w:rPr>
        <w:t xml:space="preserve"> </w:t>
      </w:r>
    </w:p>
    <w:p w14:paraId="47F34AD9" w14:textId="77777777" w:rsidR="00A97A17" w:rsidRDefault="00A97A17" w:rsidP="00A97A17">
      <w:pPr>
        <w:rPr>
          <w:iCs/>
          <w:sz w:val="28"/>
          <w:szCs w:val="28"/>
        </w:rPr>
      </w:pPr>
    </w:p>
    <w:p w14:paraId="5B8B4D42" w14:textId="77777777" w:rsidR="00A97A17" w:rsidRDefault="00A97A17" w:rsidP="00A97A17">
      <w:pPr>
        <w:rPr>
          <w:iCs/>
          <w:sz w:val="28"/>
          <w:szCs w:val="28"/>
        </w:rPr>
      </w:pPr>
      <w:r>
        <w:rPr>
          <w:iCs/>
          <w:sz w:val="28"/>
          <w:szCs w:val="28"/>
        </w:rPr>
        <w:t>It isn’t only that the UN couldn’t have imposed the solution on the controlling states, the very purpose of demilitarization was different.  All the writers agree that this is a tool for lessening conflict between states.  The vast majority of the border between Jordan and Israel would have been unaffected, so conflict could continue unabated.  Further, there were no limits on armaments in the states, and Jerusalem was small enough that both sides would have been fully covered by the other’s artillery.  There simply was no peacekeeping value.  The purpose here was not a calmer region but to save some buildings so that non-residents could come and enjoy them.  Chapman understood this and is contemptuous, noting that Europeans never minded destroying religious sites in wars if there was any need.</w:t>
      </w:r>
      <w:r>
        <w:rPr>
          <w:rStyle w:val="EndnoteReference"/>
          <w:iCs/>
          <w:sz w:val="28"/>
          <w:szCs w:val="28"/>
        </w:rPr>
        <w:endnoteReference w:id="149"/>
      </w:r>
      <w:r>
        <w:rPr>
          <w:iCs/>
          <w:sz w:val="28"/>
          <w:szCs w:val="28"/>
        </w:rPr>
        <w:t xml:space="preserve"> Williams notes that another purpose is that whoever invades a demilitarized area is obviously the aggressor in a conflict, but the UK had already made certain that the Arab states wouldn’t be labeled </w:t>
      </w:r>
      <w:commentRangeStart w:id="2"/>
      <w:r>
        <w:rPr>
          <w:iCs/>
          <w:sz w:val="28"/>
          <w:szCs w:val="28"/>
        </w:rPr>
        <w:t>aggressors</w:t>
      </w:r>
      <w:commentRangeEnd w:id="2"/>
      <w:r>
        <w:rPr>
          <w:rStyle w:val="CommentReference"/>
          <w:rFonts w:ascii="Times New Roman" w:eastAsia="Times New Roman" w:hAnsi="Times New Roman" w:cs="Times New Roman"/>
        </w:rPr>
        <w:commentReference w:id="2"/>
      </w:r>
      <w:r>
        <w:rPr>
          <w:iCs/>
          <w:sz w:val="28"/>
          <w:szCs w:val="28"/>
        </w:rPr>
        <w:t xml:space="preserve"> even if they had invaded, so there would have been no deterrent value.</w:t>
      </w:r>
      <w:r>
        <w:rPr>
          <w:rStyle w:val="EndnoteReference"/>
          <w:iCs/>
          <w:sz w:val="28"/>
          <w:szCs w:val="28"/>
        </w:rPr>
        <w:endnoteReference w:id="150"/>
      </w:r>
      <w:r>
        <w:rPr>
          <w:iCs/>
          <w:sz w:val="28"/>
          <w:szCs w:val="28"/>
        </w:rPr>
        <w:t xml:space="preserve">  International law was more reticent to use this tool, as it had failed so spectacularly in the remilitarization of the Rhineland in March 1936.   The demilitarization of Jerusalem wouldn’t have conformed to any of the understood purposes or structures of that device.</w:t>
      </w:r>
      <w:r>
        <w:rPr>
          <w:rStyle w:val="EndnoteReference"/>
          <w:iCs/>
          <w:sz w:val="28"/>
          <w:szCs w:val="28"/>
        </w:rPr>
        <w:endnoteReference w:id="151"/>
      </w:r>
      <w:r>
        <w:rPr>
          <w:iCs/>
          <w:sz w:val="28"/>
          <w:szCs w:val="28"/>
        </w:rPr>
        <w:t xml:space="preserve"> </w:t>
      </w:r>
    </w:p>
    <w:p w14:paraId="0A1FC26F" w14:textId="77777777" w:rsidR="00A97A17" w:rsidRDefault="00A97A17" w:rsidP="00A97A17">
      <w:pPr>
        <w:rPr>
          <w:iCs/>
          <w:sz w:val="28"/>
          <w:szCs w:val="28"/>
        </w:rPr>
      </w:pPr>
    </w:p>
    <w:p w14:paraId="7F72CD8C" w14:textId="77777777" w:rsidR="00A97A17" w:rsidRDefault="00A97A17" w:rsidP="00A97A17">
      <w:pPr>
        <w:rPr>
          <w:iCs/>
          <w:sz w:val="28"/>
          <w:szCs w:val="28"/>
        </w:rPr>
      </w:pPr>
      <w:proofErr w:type="spellStart"/>
      <w:r>
        <w:rPr>
          <w:iCs/>
          <w:sz w:val="28"/>
          <w:szCs w:val="28"/>
        </w:rPr>
        <w:t>Trygreve</w:t>
      </w:r>
      <w:proofErr w:type="spellEnd"/>
      <w:r>
        <w:rPr>
          <w:iCs/>
          <w:sz w:val="28"/>
          <w:szCs w:val="28"/>
        </w:rPr>
        <w:t xml:space="preserve"> Lie, the first Secretary General of the UN, pushed for demilitarization because it was a way that he could strengthen the UN.  Lie wanted to use the fact that demilitarization would be unstable without serious enforcement powers to raise up an armed force under UN control.</w:t>
      </w:r>
      <w:r>
        <w:rPr>
          <w:rStyle w:val="EndnoteReference"/>
          <w:iCs/>
          <w:sz w:val="28"/>
          <w:szCs w:val="28"/>
        </w:rPr>
        <w:endnoteReference w:id="152"/>
      </w:r>
      <w:r>
        <w:rPr>
          <w:iCs/>
          <w:sz w:val="28"/>
          <w:szCs w:val="28"/>
        </w:rPr>
        <w:t xml:space="preserve">  He intended to use this force in Jerusalem and more generally to enforce the partition in Palestine and prove to all that the UN had independent power that must be taken into consideration.  From the start of the conflict in Palestine, Lie saw it is a means to means to make the UN a real power, but also saw the danger that if it failed in the mission, it would be hugely damaging to the institution.</w:t>
      </w:r>
      <w:r>
        <w:rPr>
          <w:rStyle w:val="EndnoteReference"/>
          <w:iCs/>
          <w:sz w:val="28"/>
          <w:szCs w:val="28"/>
        </w:rPr>
        <w:endnoteReference w:id="153"/>
      </w:r>
      <w:r>
        <w:rPr>
          <w:iCs/>
          <w:sz w:val="28"/>
          <w:szCs w:val="28"/>
        </w:rPr>
        <w:t xml:space="preserve">  The need for the force was recognized in the report of the Palestine Commission, and Lie believed that he already had the legal framework to establish and staff it.</w:t>
      </w:r>
      <w:r>
        <w:rPr>
          <w:rStyle w:val="EndnoteReference"/>
          <w:iCs/>
          <w:sz w:val="28"/>
          <w:szCs w:val="28"/>
        </w:rPr>
        <w:endnoteReference w:id="154"/>
      </w:r>
      <w:r>
        <w:rPr>
          <w:iCs/>
          <w:sz w:val="28"/>
          <w:szCs w:val="28"/>
        </w:rPr>
        <w:t xml:space="preserve">   The SC noted the </w:t>
      </w:r>
      <w:proofErr w:type="gramStart"/>
      <w:r>
        <w:rPr>
          <w:iCs/>
          <w:sz w:val="28"/>
          <w:szCs w:val="28"/>
        </w:rPr>
        <w:t>report, but</w:t>
      </w:r>
      <w:proofErr w:type="gramEnd"/>
      <w:r>
        <w:rPr>
          <w:iCs/>
          <w:sz w:val="28"/>
          <w:szCs w:val="28"/>
        </w:rPr>
        <w:t xml:space="preserve"> didn’t act to send troops.  Lie kept at it, floating a plan to raise 1000 troops for a demilitarized Jerusalem, and then giving a speech at Harvard 10 June 1948 supporting the notion.</w:t>
      </w:r>
      <w:r>
        <w:rPr>
          <w:rStyle w:val="EndnoteReference"/>
          <w:iCs/>
          <w:sz w:val="28"/>
          <w:szCs w:val="28"/>
        </w:rPr>
        <w:endnoteReference w:id="155"/>
      </w:r>
      <w:r>
        <w:rPr>
          <w:iCs/>
          <w:sz w:val="28"/>
          <w:szCs w:val="28"/>
        </w:rPr>
        <w:t xml:space="preserve">  Lie felt that this was an existential issue for the </w:t>
      </w:r>
      <w:r>
        <w:rPr>
          <w:iCs/>
          <w:sz w:val="28"/>
          <w:szCs w:val="28"/>
        </w:rPr>
        <w:lastRenderedPageBreak/>
        <w:t xml:space="preserve">UN; he quotes a member of the Secretariat speaking to the UK delegate: </w:t>
      </w:r>
      <w:r w:rsidRPr="00B91932">
        <w:rPr>
          <w:iCs/>
          <w:sz w:val="28"/>
          <w:szCs w:val="28"/>
        </w:rPr>
        <w:t xml:space="preserve">“without action it could be </w:t>
      </w:r>
      <w:r w:rsidRPr="00B91932">
        <w:rPr>
          <w:i/>
          <w:iCs/>
          <w:sz w:val="28"/>
          <w:szCs w:val="28"/>
        </w:rPr>
        <w:t>the beginning of the end of the UN.”</w:t>
      </w:r>
      <w:r w:rsidRPr="00B91932">
        <w:rPr>
          <w:iCs/>
          <w:sz w:val="28"/>
          <w:szCs w:val="28"/>
        </w:rPr>
        <w:t xml:space="preserve"> (italics in the </w:t>
      </w:r>
      <w:commentRangeStart w:id="3"/>
      <w:r w:rsidRPr="00B91932">
        <w:rPr>
          <w:iCs/>
          <w:sz w:val="28"/>
          <w:szCs w:val="28"/>
        </w:rPr>
        <w:t>original</w:t>
      </w:r>
      <w:commentRangeEnd w:id="3"/>
      <w:r>
        <w:rPr>
          <w:rStyle w:val="CommentReference"/>
          <w:rFonts w:ascii="Times New Roman" w:eastAsia="Times New Roman" w:hAnsi="Times New Roman" w:cs="Times New Roman"/>
        </w:rPr>
        <w:commentReference w:id="3"/>
      </w:r>
      <w:r w:rsidRPr="00B91932">
        <w:rPr>
          <w:iCs/>
          <w:sz w:val="28"/>
          <w:szCs w:val="28"/>
        </w:rPr>
        <w:t>)</w:t>
      </w:r>
      <w:r>
        <w:rPr>
          <w:rStyle w:val="EndnoteReference"/>
          <w:iCs/>
          <w:sz w:val="28"/>
          <w:szCs w:val="28"/>
        </w:rPr>
        <w:endnoteReference w:id="156"/>
      </w:r>
      <w:r w:rsidRPr="00B91932">
        <w:rPr>
          <w:iCs/>
          <w:sz w:val="28"/>
          <w:szCs w:val="28"/>
        </w:rPr>
        <w:t xml:space="preserve">  </w:t>
      </w:r>
    </w:p>
    <w:p w14:paraId="72448106" w14:textId="77777777" w:rsidR="00A97A17" w:rsidRDefault="00A97A17" w:rsidP="00A97A17">
      <w:pPr>
        <w:rPr>
          <w:iCs/>
          <w:sz w:val="28"/>
          <w:szCs w:val="28"/>
        </w:rPr>
      </w:pPr>
    </w:p>
    <w:p w14:paraId="4916A51C" w14:textId="77777777" w:rsidR="00A97A17" w:rsidRDefault="00A97A17" w:rsidP="00A97A17">
      <w:pPr>
        <w:rPr>
          <w:iCs/>
          <w:sz w:val="28"/>
          <w:szCs w:val="28"/>
        </w:rPr>
      </w:pPr>
      <w:r>
        <w:rPr>
          <w:iCs/>
          <w:sz w:val="28"/>
          <w:szCs w:val="28"/>
        </w:rPr>
        <w:t>Lie failed for reasons particular to the situation in Palestine and also to the broader Cold War.  No nation wanted to send troops to a conflict if they wouldn’t be in control.  The US wanted to keep Soviet troops out of the Middle East, and the USSR had offered to send troops for the force in Palestine.  Lie himself put the primary onus on the UK, which was only interested in supporting its Arab clients.</w:t>
      </w:r>
      <w:r>
        <w:rPr>
          <w:rStyle w:val="EndnoteReference"/>
          <w:iCs/>
          <w:sz w:val="28"/>
          <w:szCs w:val="28"/>
        </w:rPr>
        <w:endnoteReference w:id="157"/>
      </w:r>
      <w:r>
        <w:rPr>
          <w:iCs/>
          <w:sz w:val="28"/>
          <w:szCs w:val="28"/>
        </w:rPr>
        <w:t xml:space="preserve">  It was clear that the necessary conditions for demilitarization wouldn’t be fulfilled by the major powers, who had other interests and didn’t mind conflict there.</w:t>
      </w:r>
      <w:r>
        <w:rPr>
          <w:rStyle w:val="EndnoteReference"/>
          <w:iCs/>
          <w:sz w:val="28"/>
          <w:szCs w:val="28"/>
        </w:rPr>
        <w:endnoteReference w:id="158"/>
      </w:r>
      <w:r>
        <w:rPr>
          <w:iCs/>
          <w:sz w:val="28"/>
          <w:szCs w:val="28"/>
        </w:rPr>
        <w:t xml:space="preserve">  </w:t>
      </w:r>
    </w:p>
    <w:p w14:paraId="04C90C9A" w14:textId="77777777" w:rsidR="00A97A17" w:rsidRDefault="00A97A17" w:rsidP="00A97A17">
      <w:pPr>
        <w:rPr>
          <w:iCs/>
          <w:sz w:val="28"/>
          <w:szCs w:val="28"/>
        </w:rPr>
      </w:pPr>
    </w:p>
    <w:p w14:paraId="2FF512DD" w14:textId="77777777" w:rsidR="00A97A17" w:rsidRDefault="00A97A17" w:rsidP="00A97A17">
      <w:pPr>
        <w:rPr>
          <w:iCs/>
          <w:sz w:val="28"/>
          <w:szCs w:val="28"/>
        </w:rPr>
      </w:pPr>
      <w:r>
        <w:rPr>
          <w:iCs/>
          <w:sz w:val="28"/>
          <w:szCs w:val="28"/>
        </w:rPr>
        <w:t>The concept, however, didn’t die with the failure to support it, and continued to be advocated for and put into UN documents.  If the primary motivation was to increase UN power when it was a possibility, there must have been some other motivation for including it afterwards.  Bernadotte</w:t>
      </w:r>
      <w:r>
        <w:rPr>
          <w:rStyle w:val="EndnoteReference"/>
          <w:iCs/>
          <w:sz w:val="28"/>
          <w:szCs w:val="28"/>
        </w:rPr>
        <w:endnoteReference w:id="159"/>
      </w:r>
      <w:r>
        <w:rPr>
          <w:iCs/>
          <w:sz w:val="28"/>
          <w:szCs w:val="28"/>
        </w:rPr>
        <w:t xml:space="preserve"> pushed for demilitarization on 5 July 1948, at a time when UN observers were packing up and leaving the country and all had left by 9 July.</w:t>
      </w:r>
      <w:r>
        <w:rPr>
          <w:rStyle w:val="EndnoteReference"/>
          <w:iCs/>
          <w:sz w:val="28"/>
          <w:szCs w:val="28"/>
        </w:rPr>
        <w:endnoteReference w:id="160"/>
      </w:r>
      <w:r>
        <w:rPr>
          <w:iCs/>
          <w:sz w:val="28"/>
          <w:szCs w:val="28"/>
        </w:rPr>
        <w:t xml:space="preserve">  Political science already had a good idea of what happens in a power vacuum at that time.</w:t>
      </w:r>
      <w:r>
        <w:rPr>
          <w:rStyle w:val="EndnoteReference"/>
          <w:iCs/>
          <w:sz w:val="28"/>
          <w:szCs w:val="28"/>
        </w:rPr>
        <w:endnoteReference w:id="161"/>
      </w:r>
      <w:r>
        <w:rPr>
          <w:iCs/>
          <w:sz w:val="28"/>
          <w:szCs w:val="28"/>
        </w:rPr>
        <w:t xml:space="preserve">  In the contest over the Saar, von Kuhlmann makes an argument against demilitarization at the center of which is “</w:t>
      </w:r>
      <w:r w:rsidRPr="00172C5D">
        <w:rPr>
          <w:iCs/>
          <w:sz w:val="28"/>
          <w:szCs w:val="28"/>
        </w:rPr>
        <w:t>The most serious menace to the maintenance of peace is an utterly unarmed Germany in the center of a heavily armed</w:t>
      </w:r>
      <w:r>
        <w:rPr>
          <w:iCs/>
          <w:sz w:val="28"/>
          <w:szCs w:val="28"/>
        </w:rPr>
        <w:t xml:space="preserve"> Europe.”</w:t>
      </w:r>
      <w:r>
        <w:rPr>
          <w:rStyle w:val="EndnoteReference"/>
          <w:iCs/>
          <w:sz w:val="28"/>
          <w:szCs w:val="28"/>
        </w:rPr>
        <w:endnoteReference w:id="162"/>
      </w:r>
      <w:r>
        <w:rPr>
          <w:iCs/>
          <w:sz w:val="28"/>
          <w:szCs w:val="28"/>
        </w:rPr>
        <w:t xml:space="preserve">   Making a densely populated, strategic and emotionally important city, divided between two warring communities, each with armies at the ready, into a demilitarized zone was always a recipe for disaster.  Whoever invaded first might have gotten the whole prize, and the cost might only have been some sort of censure by the UN.  The incentives to attack would have been tremendous, and this at a time when, with UN help, the Jordanians and Israelis were drawing the lines that created a stable armistice in the divided city till 1967.    </w:t>
      </w:r>
    </w:p>
    <w:p w14:paraId="67E1747C" w14:textId="77777777" w:rsidR="00A97A17" w:rsidRDefault="00A97A17" w:rsidP="00A97A17">
      <w:pPr>
        <w:rPr>
          <w:iCs/>
          <w:sz w:val="28"/>
          <w:szCs w:val="28"/>
        </w:rPr>
      </w:pPr>
    </w:p>
    <w:p w14:paraId="4F3EAED5" w14:textId="77777777" w:rsidR="00A97A17" w:rsidRDefault="00A97A17" w:rsidP="00A97A17">
      <w:pPr>
        <w:rPr>
          <w:iCs/>
          <w:sz w:val="28"/>
          <w:szCs w:val="28"/>
        </w:rPr>
      </w:pPr>
      <w:r>
        <w:rPr>
          <w:iCs/>
          <w:sz w:val="28"/>
          <w:szCs w:val="28"/>
        </w:rPr>
        <w:t xml:space="preserve"> </w:t>
      </w:r>
      <w:r w:rsidRPr="00B93274">
        <w:rPr>
          <w:iCs/>
          <w:sz w:val="28"/>
          <w:szCs w:val="28"/>
        </w:rPr>
        <w:t>“The W</w:t>
      </w:r>
      <w:r>
        <w:rPr>
          <w:iCs/>
          <w:sz w:val="28"/>
          <w:szCs w:val="28"/>
        </w:rPr>
        <w:t>estern</w:t>
      </w:r>
      <w:r w:rsidRPr="00B93274">
        <w:rPr>
          <w:iCs/>
          <w:sz w:val="28"/>
          <w:szCs w:val="28"/>
        </w:rPr>
        <w:t xml:space="preserve"> Powers knew only too well that w</w:t>
      </w:r>
      <w:r>
        <w:rPr>
          <w:iCs/>
          <w:sz w:val="28"/>
          <w:szCs w:val="28"/>
        </w:rPr>
        <w:t>ith</w:t>
      </w:r>
      <w:r w:rsidRPr="00B93274">
        <w:rPr>
          <w:iCs/>
          <w:sz w:val="28"/>
          <w:szCs w:val="28"/>
        </w:rPr>
        <w:t>out sufficient supervision the balance of power between Arabs and Jews might be upset and the settlement they sought would fall to pieces.  Amazingly, throughout the summer of 48 they were unable to translate that knowledge into practice.”</w:t>
      </w:r>
      <w:r>
        <w:rPr>
          <w:rStyle w:val="EndnoteReference"/>
          <w:iCs/>
          <w:sz w:val="28"/>
          <w:szCs w:val="28"/>
        </w:rPr>
        <w:endnoteReference w:id="163"/>
      </w:r>
      <w:r>
        <w:rPr>
          <w:iCs/>
          <w:sz w:val="28"/>
          <w:szCs w:val="28"/>
        </w:rPr>
        <w:t xml:space="preserve"> If we accept this, then we must be willing to entertain the notion that one of the motivations of the proponents of the UN plans was to further the cause of conflict.  Certainly, in the case of the Arab States, as this was a stated aim of their policies. </w:t>
      </w:r>
    </w:p>
    <w:p w14:paraId="32C60FE6" w14:textId="77777777" w:rsidR="00A97A17" w:rsidRDefault="00A97A17" w:rsidP="00A97A17">
      <w:pPr>
        <w:rPr>
          <w:iCs/>
          <w:sz w:val="28"/>
          <w:szCs w:val="28"/>
        </w:rPr>
      </w:pPr>
    </w:p>
    <w:p w14:paraId="735CC152" w14:textId="77777777" w:rsidR="00A97A17" w:rsidRDefault="00A97A17" w:rsidP="00A97A17">
      <w:pPr>
        <w:rPr>
          <w:iCs/>
          <w:sz w:val="28"/>
          <w:szCs w:val="28"/>
        </w:rPr>
      </w:pPr>
      <w:r>
        <w:rPr>
          <w:iCs/>
          <w:sz w:val="28"/>
          <w:szCs w:val="28"/>
        </w:rPr>
        <w:t xml:space="preserve">Mediator </w:t>
      </w:r>
      <w:proofErr w:type="spellStart"/>
      <w:r>
        <w:rPr>
          <w:iCs/>
          <w:sz w:val="28"/>
          <w:szCs w:val="28"/>
        </w:rPr>
        <w:t>Folke</w:t>
      </w:r>
      <w:proofErr w:type="spellEnd"/>
      <w:r>
        <w:rPr>
          <w:iCs/>
          <w:sz w:val="28"/>
          <w:szCs w:val="28"/>
        </w:rPr>
        <w:t xml:space="preserve"> Bernadotte, the UN’s most important actor and representative in the conflict, pushed demilitarization hard, even though he understood that the conditions didn’t exist for it and he didn’t trust the UN to implement them.  He begins by noting that the first truce was easy to implement in the city, with few incidents, as both sides wanted it.</w:t>
      </w:r>
      <w:r>
        <w:rPr>
          <w:rStyle w:val="EndnoteReference"/>
          <w:iCs/>
          <w:sz w:val="28"/>
          <w:szCs w:val="28"/>
        </w:rPr>
        <w:endnoteReference w:id="164"/>
      </w:r>
      <w:r>
        <w:rPr>
          <w:iCs/>
          <w:sz w:val="28"/>
          <w:szCs w:val="28"/>
        </w:rPr>
        <w:t xml:space="preserve">  This ought to have made it uninteresting to him, as it was taking care of itself.  Instead, as other issues were decided by the use of force and there was less for the mediator to do, the issue loomed larger for him.</w:t>
      </w:r>
      <w:r>
        <w:rPr>
          <w:rStyle w:val="EndnoteReference"/>
          <w:iCs/>
          <w:sz w:val="28"/>
          <w:szCs w:val="28"/>
        </w:rPr>
        <w:endnoteReference w:id="165"/>
      </w:r>
      <w:r>
        <w:rPr>
          <w:iCs/>
          <w:sz w:val="28"/>
          <w:szCs w:val="28"/>
        </w:rPr>
        <w:t xml:space="preserve"> In negotiations during the period of the second truce, he raised the issue with all the leaders involved,</w:t>
      </w:r>
      <w:r>
        <w:rPr>
          <w:rStyle w:val="EndnoteReference"/>
          <w:iCs/>
          <w:sz w:val="28"/>
          <w:szCs w:val="28"/>
        </w:rPr>
        <w:endnoteReference w:id="166"/>
      </w:r>
      <w:r>
        <w:rPr>
          <w:iCs/>
          <w:sz w:val="28"/>
          <w:szCs w:val="28"/>
        </w:rPr>
        <w:t xml:space="preserve"> and sought demilitarization even when he expected war,</w:t>
      </w:r>
      <w:r>
        <w:rPr>
          <w:rStyle w:val="EndnoteReference"/>
          <w:iCs/>
          <w:sz w:val="28"/>
          <w:szCs w:val="28"/>
        </w:rPr>
        <w:endnoteReference w:id="167"/>
      </w:r>
      <w:r>
        <w:rPr>
          <w:iCs/>
          <w:sz w:val="28"/>
          <w:szCs w:val="28"/>
        </w:rPr>
        <w:t xml:space="preserve"> a strange combination.</w:t>
      </w:r>
    </w:p>
    <w:p w14:paraId="48714DAA" w14:textId="77777777" w:rsidR="00A97A17" w:rsidRDefault="00A97A17" w:rsidP="00A97A17">
      <w:pPr>
        <w:rPr>
          <w:iCs/>
          <w:sz w:val="28"/>
          <w:szCs w:val="28"/>
        </w:rPr>
      </w:pPr>
    </w:p>
    <w:p w14:paraId="3DBD5BBC" w14:textId="77777777" w:rsidR="00A97A17" w:rsidRPr="00B91932" w:rsidRDefault="00A97A17" w:rsidP="00A97A17">
      <w:pPr>
        <w:rPr>
          <w:iCs/>
          <w:sz w:val="28"/>
          <w:szCs w:val="28"/>
        </w:rPr>
      </w:pPr>
      <w:r>
        <w:rPr>
          <w:iCs/>
          <w:sz w:val="28"/>
          <w:szCs w:val="28"/>
        </w:rPr>
        <w:t>Matters are made stranger in that Bernadotte was pushing the demilitarization agenda at exactly the same time that he was losing faith in the UN’s ability to implement it.  He expresses himself increasingly angrily that they have sent him out to do a task and given him little support beyond his staff.</w:t>
      </w:r>
      <w:r>
        <w:rPr>
          <w:rStyle w:val="EndnoteReference"/>
          <w:iCs/>
          <w:sz w:val="28"/>
          <w:szCs w:val="28"/>
        </w:rPr>
        <w:endnoteReference w:id="168"/>
      </w:r>
      <w:r>
        <w:rPr>
          <w:iCs/>
          <w:sz w:val="28"/>
          <w:szCs w:val="28"/>
        </w:rPr>
        <w:t xml:space="preserve">  He even understood the need for a force to accomplish it, and not just a police force, but well trained and armed soldiers who have a mandate to respond to force with force.</w:t>
      </w:r>
      <w:r>
        <w:rPr>
          <w:rStyle w:val="EndnoteReference"/>
          <w:iCs/>
          <w:sz w:val="28"/>
          <w:szCs w:val="28"/>
        </w:rPr>
        <w:endnoteReference w:id="169"/>
      </w:r>
      <w:r>
        <w:rPr>
          <w:iCs/>
          <w:sz w:val="28"/>
          <w:szCs w:val="28"/>
        </w:rPr>
        <w:t xml:space="preserve">  How is it that he doesn’t believe that the UN can pull off demilitarization, doesn’t think that the internationalization that it rests on is a good idea, isn’t getting any of the troops necessary to execute it (he can’t even get a small fraction of the truce observers he has demanded, and they would have been much easier to get than armed troops)</w:t>
      </w:r>
      <w:r>
        <w:rPr>
          <w:rStyle w:val="EndnoteReference"/>
          <w:iCs/>
          <w:sz w:val="28"/>
          <w:szCs w:val="28"/>
        </w:rPr>
        <w:endnoteReference w:id="170"/>
      </w:r>
      <w:r>
        <w:rPr>
          <w:iCs/>
          <w:sz w:val="28"/>
          <w:szCs w:val="28"/>
        </w:rPr>
        <w:t xml:space="preserve"> and yet is pushing the idea?  </w:t>
      </w:r>
    </w:p>
    <w:p w14:paraId="24750122" w14:textId="77777777" w:rsidR="00A97A17" w:rsidRPr="0098317D" w:rsidRDefault="00A97A17" w:rsidP="00A97A17">
      <w:pPr>
        <w:rPr>
          <w:iCs/>
          <w:sz w:val="28"/>
          <w:szCs w:val="28"/>
        </w:rPr>
      </w:pPr>
    </w:p>
    <w:p w14:paraId="37B933EB" w14:textId="77777777" w:rsidR="00A97A17" w:rsidRDefault="00A97A17" w:rsidP="00A97A17">
      <w:pPr>
        <w:rPr>
          <w:b/>
          <w:sz w:val="28"/>
          <w:szCs w:val="28"/>
        </w:rPr>
      </w:pPr>
      <w:r>
        <w:rPr>
          <w:b/>
          <w:sz w:val="28"/>
          <w:szCs w:val="28"/>
        </w:rPr>
        <w:t>What Did the International Community Want?</w:t>
      </w:r>
    </w:p>
    <w:p w14:paraId="57098B8C" w14:textId="77777777" w:rsidR="00A97A17" w:rsidRDefault="00A97A17" w:rsidP="00A97A17">
      <w:pPr>
        <w:rPr>
          <w:sz w:val="28"/>
          <w:szCs w:val="28"/>
        </w:rPr>
      </w:pPr>
    </w:p>
    <w:p w14:paraId="243B5726" w14:textId="77777777" w:rsidR="00A97A17" w:rsidRDefault="00A97A17" w:rsidP="00A97A17">
      <w:pPr>
        <w:rPr>
          <w:bCs/>
          <w:sz w:val="28"/>
          <w:szCs w:val="28"/>
        </w:rPr>
      </w:pPr>
      <w:r>
        <w:rPr>
          <w:sz w:val="28"/>
          <w:szCs w:val="28"/>
        </w:rPr>
        <w:t>In Trieste, internationalization and demilitarization were decreed, quickly forgotten and never again raised as various treaties divided the area and regularized its status.  This is not the case in Jerusalem, which can still properly be seen as internationalized in the eyes of the international community.  The former Palestinian Minister for Jerusalem Affairs, delivering a paper at a UN sponsored conference was not wrong “</w:t>
      </w:r>
      <w:r w:rsidRPr="00963B37">
        <w:rPr>
          <w:bCs/>
          <w:sz w:val="28"/>
          <w:szCs w:val="28"/>
        </w:rPr>
        <w:t>To conclude, the status of Jerusalem under the international law is still defined and ruled by the UNGA Resolution 181 as an area of non-sovereignty, under international supervision.</w:t>
      </w:r>
      <w:r>
        <w:rPr>
          <w:bCs/>
          <w:sz w:val="28"/>
          <w:szCs w:val="28"/>
        </w:rPr>
        <w:t>”</w:t>
      </w:r>
      <w:r>
        <w:rPr>
          <w:rStyle w:val="EndnoteReference"/>
          <w:bCs/>
          <w:sz w:val="28"/>
          <w:szCs w:val="28"/>
        </w:rPr>
        <w:endnoteReference w:id="171"/>
      </w:r>
      <w:r>
        <w:rPr>
          <w:bCs/>
          <w:sz w:val="28"/>
          <w:szCs w:val="28"/>
        </w:rPr>
        <w:t xml:space="preserve">  Jerusalem might still be held in radical ambiguity by a resolution, something that has no legal force, passed in 1947, none of which, besides the general concept of partition, came to pass.  The UNGA and SC have passed resolutions almost too numerous to count </w:t>
      </w:r>
      <w:r>
        <w:rPr>
          <w:bCs/>
          <w:sz w:val="28"/>
          <w:szCs w:val="28"/>
        </w:rPr>
        <w:lastRenderedPageBreak/>
        <w:t>since then reiterating this position.</w:t>
      </w:r>
      <w:r>
        <w:rPr>
          <w:rStyle w:val="EndnoteReference"/>
          <w:bCs/>
          <w:sz w:val="28"/>
          <w:szCs w:val="28"/>
        </w:rPr>
        <w:endnoteReference w:id="172"/>
      </w:r>
      <w:r>
        <w:rPr>
          <w:bCs/>
          <w:sz w:val="28"/>
          <w:szCs w:val="28"/>
        </w:rPr>
        <w:t xml:space="preserve">  This fact might even be widely known, as it was remarked on in the news when the US recognized Jerusalem as Israel’s capital.</w:t>
      </w:r>
      <w:r>
        <w:rPr>
          <w:rStyle w:val="EndnoteReference"/>
          <w:bCs/>
          <w:sz w:val="28"/>
          <w:szCs w:val="28"/>
        </w:rPr>
        <w:endnoteReference w:id="173"/>
      </w:r>
      <w:r>
        <w:rPr>
          <w:bCs/>
          <w:sz w:val="28"/>
          <w:szCs w:val="28"/>
        </w:rPr>
        <w:t xml:space="preserve">  Of course, ambiguity involves all of its usual costs: whenever something of value can reasonably be claimed by multiple parties, they will find themselves in conflict over it.  From the start of the conflict, the international community has chosen to maintain and continue conditions that fan the flames rather than seek a settled situation.</w:t>
      </w:r>
      <w:r>
        <w:rPr>
          <w:rStyle w:val="EndnoteReference"/>
          <w:bCs/>
          <w:sz w:val="28"/>
          <w:szCs w:val="28"/>
        </w:rPr>
        <w:endnoteReference w:id="174"/>
      </w:r>
      <w:r>
        <w:rPr>
          <w:bCs/>
          <w:sz w:val="28"/>
          <w:szCs w:val="28"/>
        </w:rPr>
        <w:t xml:space="preserve"> After all, if they wanted stable access to the Holy Places, they would have passed the Swedish proposal and achieved that.   Years have passed and conditions changed, but the international community has persisted in the same approach to the problem.</w:t>
      </w:r>
    </w:p>
    <w:p w14:paraId="138B05C1" w14:textId="77777777" w:rsidR="00A97A17" w:rsidRDefault="00A97A17" w:rsidP="00A97A17">
      <w:pPr>
        <w:rPr>
          <w:bCs/>
          <w:sz w:val="28"/>
          <w:szCs w:val="28"/>
        </w:rPr>
      </w:pPr>
    </w:p>
    <w:p w14:paraId="57687263" w14:textId="77777777" w:rsidR="00A97A17" w:rsidRDefault="00A97A17" w:rsidP="00A97A17">
      <w:pPr>
        <w:rPr>
          <w:bCs/>
          <w:sz w:val="28"/>
          <w:szCs w:val="28"/>
        </w:rPr>
      </w:pPr>
      <w:r>
        <w:rPr>
          <w:bCs/>
          <w:sz w:val="28"/>
          <w:szCs w:val="28"/>
        </w:rPr>
        <w:t xml:space="preserve">It is not enough to say that it was never implemented, and so it is of no interest.  Attempted crimes, for example, are still crimes, though they do not come to pass.  The internationalization of Jerusalem is still a fact and has had effects on the possibilities for a settlement there since it was first passed till now.  </w:t>
      </w:r>
    </w:p>
    <w:p w14:paraId="5CF91F6C" w14:textId="77777777" w:rsidR="00A97A17" w:rsidRDefault="00A97A17" w:rsidP="00A97A17">
      <w:pPr>
        <w:rPr>
          <w:bCs/>
          <w:sz w:val="28"/>
          <w:szCs w:val="28"/>
        </w:rPr>
      </w:pPr>
    </w:p>
    <w:p w14:paraId="5C375BCF" w14:textId="77777777" w:rsidR="00A97A17" w:rsidRDefault="00A97A17" w:rsidP="00A97A17">
      <w:pPr>
        <w:rPr>
          <w:bCs/>
          <w:sz w:val="28"/>
          <w:szCs w:val="28"/>
        </w:rPr>
      </w:pPr>
      <w:r>
        <w:rPr>
          <w:bCs/>
          <w:sz w:val="28"/>
          <w:szCs w:val="28"/>
        </w:rPr>
        <w:t xml:space="preserve">Hall gives us a test as to the usefulness of putting a territory under international supervision: </w:t>
      </w:r>
      <w:r w:rsidRPr="00480BBF">
        <w:rPr>
          <w:bCs/>
          <w:sz w:val="28"/>
          <w:szCs w:val="28"/>
        </w:rPr>
        <w:t>“A state could hardly be expected to relinquish voluntarily a portion of its territory to international trusteeship unless it had reasonable assurances on three essential points: (1) that the interests of the people of the territory would be as well served under international as under national trusteeship; (2) that the security of the state itself would not be impaired; (3) that the UN was really in a position to undertake the responsibility, and that the arrangement would contribute towards general peace.”</w:t>
      </w:r>
      <w:r>
        <w:rPr>
          <w:rStyle w:val="EndnoteReference"/>
          <w:bCs/>
          <w:sz w:val="28"/>
          <w:szCs w:val="28"/>
        </w:rPr>
        <w:endnoteReference w:id="175"/>
      </w:r>
      <w:r w:rsidRPr="00480BBF">
        <w:rPr>
          <w:bCs/>
          <w:sz w:val="28"/>
          <w:szCs w:val="28"/>
        </w:rPr>
        <w:t xml:space="preserve"> </w:t>
      </w:r>
      <w:r>
        <w:rPr>
          <w:bCs/>
          <w:sz w:val="28"/>
          <w:szCs w:val="28"/>
        </w:rPr>
        <w:t xml:space="preserve"> There should be no question that in 1948 both Israel and Jordan would find that the UN failed all three points; their strenuous rejection was reasonable.</w:t>
      </w:r>
      <w:r>
        <w:rPr>
          <w:rStyle w:val="EndnoteReference"/>
          <w:bCs/>
          <w:sz w:val="28"/>
          <w:szCs w:val="28"/>
        </w:rPr>
        <w:endnoteReference w:id="176"/>
      </w:r>
      <w:r>
        <w:rPr>
          <w:bCs/>
          <w:sz w:val="28"/>
          <w:szCs w:val="28"/>
        </w:rPr>
        <w:t xml:space="preserve">  Conditions have only gotten less agreeable to that solution since then.  Hall, asking a more general question, finds that the answer is that it would be very rare indeed for these conditions to be satisfied.  Part of his conclusion is “But there is no basis in experience for any general theory that international trusteeship </w:t>
      </w:r>
      <w:r>
        <w:rPr>
          <w:bCs/>
          <w:i/>
          <w:sz w:val="28"/>
          <w:szCs w:val="28"/>
        </w:rPr>
        <w:t xml:space="preserve">per se </w:t>
      </w:r>
      <w:r>
        <w:rPr>
          <w:bCs/>
          <w:sz w:val="28"/>
          <w:szCs w:val="28"/>
        </w:rPr>
        <w:t>contributes necessarily to international stability.”</w:t>
      </w:r>
      <w:r>
        <w:rPr>
          <w:rStyle w:val="EndnoteReference"/>
          <w:bCs/>
          <w:sz w:val="28"/>
          <w:szCs w:val="28"/>
        </w:rPr>
        <w:endnoteReference w:id="177"/>
      </w:r>
      <w:r>
        <w:rPr>
          <w:bCs/>
          <w:sz w:val="28"/>
          <w:szCs w:val="28"/>
        </w:rPr>
        <w:t xml:space="preserve"> </w:t>
      </w:r>
    </w:p>
    <w:p w14:paraId="52C9EB6A" w14:textId="77777777" w:rsidR="00A97A17" w:rsidRDefault="00A97A17" w:rsidP="00A97A17">
      <w:pPr>
        <w:rPr>
          <w:bCs/>
          <w:sz w:val="28"/>
          <w:szCs w:val="28"/>
        </w:rPr>
      </w:pPr>
    </w:p>
    <w:p w14:paraId="27592BD5" w14:textId="77777777" w:rsidR="00A97A17" w:rsidRDefault="00A97A17" w:rsidP="00A97A17">
      <w:pPr>
        <w:rPr>
          <w:bCs/>
          <w:sz w:val="28"/>
          <w:szCs w:val="28"/>
        </w:rPr>
      </w:pPr>
      <w:r>
        <w:rPr>
          <w:bCs/>
          <w:sz w:val="28"/>
          <w:szCs w:val="28"/>
        </w:rPr>
        <w:t xml:space="preserve">All of the other cases of international areas can reasonably be explained, both in their creation and their failures, by victor’s justice and power politics; that isn’t true in Jerusalem.  It was outside of the Cold War and the Arab League was aligned against its member Jordan on Jerusalem.  In this case it was Australians, Communists, Catholics and most Arabs against the US, UK and most of Northern </w:t>
      </w:r>
      <w:r>
        <w:rPr>
          <w:bCs/>
          <w:sz w:val="28"/>
          <w:szCs w:val="28"/>
        </w:rPr>
        <w:lastRenderedPageBreak/>
        <w:t xml:space="preserve">Europe, with a few others thrown in.  It cannot be explained by the usual analyses of the day.  We might ask the same question another way: </w:t>
      </w:r>
      <w:r w:rsidRPr="007F3F74">
        <w:rPr>
          <w:bCs/>
          <w:sz w:val="28"/>
          <w:szCs w:val="28"/>
        </w:rPr>
        <w:t>Hall</w:t>
      </w:r>
      <w:r>
        <w:rPr>
          <w:bCs/>
          <w:sz w:val="28"/>
          <w:szCs w:val="28"/>
        </w:rPr>
        <w:t xml:space="preserve"> says</w:t>
      </w:r>
      <w:r w:rsidRPr="007F3F74">
        <w:rPr>
          <w:bCs/>
          <w:sz w:val="28"/>
          <w:szCs w:val="28"/>
        </w:rPr>
        <w:t xml:space="preserve"> that infringements on sov</w:t>
      </w:r>
      <w:r>
        <w:rPr>
          <w:bCs/>
          <w:sz w:val="28"/>
          <w:szCs w:val="28"/>
        </w:rPr>
        <w:t>ereignty</w:t>
      </w:r>
      <w:r w:rsidRPr="007F3F74">
        <w:rPr>
          <w:bCs/>
          <w:sz w:val="28"/>
          <w:szCs w:val="28"/>
        </w:rPr>
        <w:t xml:space="preserve"> are tried when roughly equal powers are in potential conflict over a weaker state</w:t>
      </w:r>
      <w:r>
        <w:rPr>
          <w:bCs/>
          <w:sz w:val="28"/>
          <w:szCs w:val="28"/>
        </w:rPr>
        <w:t xml:space="preserve">. </w:t>
      </w:r>
      <w:r w:rsidRPr="007F3F74">
        <w:rPr>
          <w:bCs/>
          <w:sz w:val="28"/>
          <w:szCs w:val="28"/>
        </w:rPr>
        <w:t xml:space="preserve"> </w:t>
      </w:r>
      <w:r>
        <w:rPr>
          <w:bCs/>
          <w:sz w:val="28"/>
          <w:szCs w:val="28"/>
        </w:rPr>
        <w:t>T</w:t>
      </w:r>
      <w:r w:rsidRPr="007F3F74">
        <w:rPr>
          <w:bCs/>
          <w:sz w:val="28"/>
          <w:szCs w:val="28"/>
        </w:rPr>
        <w:t>hey postpone the conflict by imposing the infringement on the weaker state</w:t>
      </w:r>
      <w:r>
        <w:rPr>
          <w:bCs/>
          <w:sz w:val="28"/>
          <w:szCs w:val="28"/>
        </w:rPr>
        <w:t>, who cannot refuse</w:t>
      </w:r>
      <w:r w:rsidRPr="007F3F74">
        <w:rPr>
          <w:bCs/>
          <w:sz w:val="28"/>
          <w:szCs w:val="28"/>
        </w:rPr>
        <w:t xml:space="preserve">.  If that were the case, then who would it be that was contesting? </w:t>
      </w:r>
      <w:r>
        <w:rPr>
          <w:bCs/>
          <w:sz w:val="28"/>
          <w:szCs w:val="28"/>
        </w:rPr>
        <w:t xml:space="preserve"> What was at issue?  </w:t>
      </w:r>
    </w:p>
    <w:p w14:paraId="22F35A8E" w14:textId="77777777" w:rsidR="00A97A17" w:rsidRDefault="00A97A17" w:rsidP="00A97A17">
      <w:pPr>
        <w:rPr>
          <w:bCs/>
          <w:sz w:val="28"/>
          <w:szCs w:val="28"/>
        </w:rPr>
      </w:pPr>
    </w:p>
    <w:p w14:paraId="6CE5BAB2" w14:textId="77777777" w:rsidR="00A97A17" w:rsidRDefault="00A97A17" w:rsidP="00A97A17">
      <w:pPr>
        <w:rPr>
          <w:bCs/>
          <w:sz w:val="28"/>
          <w:szCs w:val="28"/>
        </w:rPr>
      </w:pPr>
      <w:r>
        <w:rPr>
          <w:bCs/>
          <w:sz w:val="28"/>
          <w:szCs w:val="28"/>
        </w:rPr>
        <w:t xml:space="preserve">The advocates of internationalization at this time were clear about keeping the conflict going.  This was most important to the Arabs, excepting Jordan.  </w:t>
      </w:r>
      <w:r w:rsidRPr="00C33D8C">
        <w:rPr>
          <w:bCs/>
          <w:sz w:val="28"/>
          <w:szCs w:val="28"/>
        </w:rPr>
        <w:t xml:space="preserve">“Azzam Pasha, the secretary-general of the AL, said, </w:t>
      </w:r>
      <w:r>
        <w:rPr>
          <w:bCs/>
          <w:sz w:val="28"/>
          <w:szCs w:val="28"/>
        </w:rPr>
        <w:t>‘</w:t>
      </w:r>
      <w:r w:rsidRPr="00C33D8C">
        <w:rPr>
          <w:bCs/>
          <w:sz w:val="28"/>
          <w:szCs w:val="28"/>
        </w:rPr>
        <w:t>We have a secret weapon which we can use better than guns, and this is time.  As long as we don’t make peace with the Zionists, the war is not over and as long as the war is not over, there is neither victor nor vanquished.  As soon as we recognize the existence of Israel, we shall have admitted by this very act that we are vanquished.</w:t>
      </w:r>
      <w:r>
        <w:rPr>
          <w:bCs/>
          <w:sz w:val="28"/>
          <w:szCs w:val="28"/>
        </w:rPr>
        <w:t>’</w:t>
      </w:r>
      <w:r w:rsidRPr="00C33D8C">
        <w:rPr>
          <w:bCs/>
          <w:sz w:val="28"/>
          <w:szCs w:val="28"/>
        </w:rPr>
        <w:t>”</w:t>
      </w:r>
      <w:r>
        <w:rPr>
          <w:rStyle w:val="EndnoteReference"/>
          <w:bCs/>
          <w:sz w:val="28"/>
          <w:szCs w:val="28"/>
        </w:rPr>
        <w:endnoteReference w:id="178"/>
      </w:r>
      <w:r w:rsidRPr="00C33D8C">
        <w:rPr>
          <w:bCs/>
          <w:sz w:val="28"/>
          <w:szCs w:val="28"/>
        </w:rPr>
        <w:t xml:space="preserve">  </w:t>
      </w:r>
      <w:r>
        <w:rPr>
          <w:bCs/>
          <w:sz w:val="28"/>
          <w:szCs w:val="28"/>
        </w:rPr>
        <w:t xml:space="preserve">For the Vatican, the unsettled state of affairs in Palestine was a chance to increase its power there, as it had failed to do at the start of the UK mandate.  To accept the armistices would be to accept that Jews and Moslems would have sovereignty over that city, after a brief period of Christian rule.  Of course, the Catholic Church had its own traumatic experience of whether a holy city could also be a secular one: in the early 1870s, Italy took control of Rome from the Church and made it into the capital of a secular state.  All of Europe was involved in the question, but in that case, the answer was that it was proper for the city, even with all its religious import and history for people across the globe, to come under the rule of a state and could be its capital.  The Soviet bloc saw turmoil in Palestine as a way to undermine the UK’s rule there, possibly gain allies and, had there been a peace force, to station troops in the region.  Understanding the motivations might shed light on the continuing calls for internationalization of Jerusalem, long, long after it had ceased to be realistic. </w:t>
      </w:r>
    </w:p>
    <w:p w14:paraId="443838F2" w14:textId="77777777" w:rsidR="00A97A17" w:rsidRDefault="00A97A17" w:rsidP="00A97A17">
      <w:pPr>
        <w:rPr>
          <w:bCs/>
          <w:sz w:val="28"/>
          <w:szCs w:val="28"/>
        </w:rPr>
      </w:pPr>
    </w:p>
    <w:p w14:paraId="3BED868A" w14:textId="77777777" w:rsidR="00A97A17" w:rsidRDefault="00A97A17" w:rsidP="00A97A17">
      <w:pPr>
        <w:rPr>
          <w:bCs/>
          <w:sz w:val="28"/>
          <w:szCs w:val="28"/>
        </w:rPr>
      </w:pPr>
      <w:r>
        <w:rPr>
          <w:bCs/>
          <w:sz w:val="28"/>
          <w:szCs w:val="28"/>
        </w:rPr>
        <w:t>It is not surprising that Oppenheim says of ‘internationalization’, the term at the center of this paper, that it is “…a term which has not yet acquired an established meaning, but which is beginning to be used to denote the status of an area of territory or water which has been dedicated by treaty to the public use of all or a large number of States…”</w:t>
      </w:r>
      <w:r>
        <w:rPr>
          <w:rStyle w:val="EndnoteReference"/>
          <w:bCs/>
          <w:sz w:val="28"/>
          <w:szCs w:val="28"/>
        </w:rPr>
        <w:endnoteReference w:id="179"/>
      </w:r>
      <w:r>
        <w:rPr>
          <w:bCs/>
          <w:sz w:val="28"/>
          <w:szCs w:val="28"/>
        </w:rPr>
        <w:t xml:space="preserve">  Piling uncertainty atop ambiguity atop anomaly and adding anachronism, the diplomats had written a fine recipe for chaos and unending conflict.  Perhaps they had forgotten that they were working with </w:t>
      </w:r>
      <w:r>
        <w:rPr>
          <w:bCs/>
          <w:sz w:val="28"/>
          <w:szCs w:val="28"/>
        </w:rPr>
        <w:lastRenderedPageBreak/>
        <w:t xml:space="preserve">Jerusalem and confused it with a town a bit to the north, </w:t>
      </w:r>
      <w:proofErr w:type="spellStart"/>
      <w:r>
        <w:rPr>
          <w:bCs/>
          <w:sz w:val="28"/>
          <w:szCs w:val="28"/>
        </w:rPr>
        <w:t>Meggido</w:t>
      </w:r>
      <w:proofErr w:type="spellEnd"/>
      <w:r>
        <w:rPr>
          <w:bCs/>
          <w:sz w:val="28"/>
          <w:szCs w:val="28"/>
        </w:rPr>
        <w:t xml:space="preserve">, more commonly known as Armageddon? </w:t>
      </w:r>
    </w:p>
    <w:p w14:paraId="224F21D1" w14:textId="77777777" w:rsidR="00A97A17" w:rsidRDefault="00A97A17" w:rsidP="00A97A17">
      <w:pPr>
        <w:rPr>
          <w:bCs/>
          <w:sz w:val="28"/>
          <w:szCs w:val="28"/>
        </w:rPr>
      </w:pPr>
    </w:p>
    <w:p w14:paraId="50D125EB" w14:textId="77777777" w:rsidR="00A97A17" w:rsidRDefault="00A97A17" w:rsidP="00A97A17">
      <w:pPr>
        <w:rPr>
          <w:bCs/>
          <w:sz w:val="28"/>
          <w:szCs w:val="28"/>
        </w:rPr>
      </w:pPr>
      <w:proofErr w:type="spellStart"/>
      <w:r>
        <w:rPr>
          <w:bCs/>
          <w:sz w:val="28"/>
          <w:szCs w:val="28"/>
        </w:rPr>
        <w:t>Mohn</w:t>
      </w:r>
      <w:proofErr w:type="spellEnd"/>
      <w:r>
        <w:rPr>
          <w:bCs/>
          <w:sz w:val="28"/>
          <w:szCs w:val="28"/>
        </w:rPr>
        <w:t xml:space="preserve"> was willing to make the “the people aren’t ready for democracy” argument that had been made so often to justify colonial rule.</w:t>
      </w:r>
      <w:r>
        <w:rPr>
          <w:rStyle w:val="EndnoteReference"/>
          <w:bCs/>
          <w:sz w:val="28"/>
          <w:szCs w:val="28"/>
        </w:rPr>
        <w:endnoteReference w:id="180"/>
      </w:r>
      <w:r>
        <w:rPr>
          <w:bCs/>
          <w:sz w:val="28"/>
          <w:szCs w:val="28"/>
        </w:rPr>
        <w:t xml:space="preserve">  This must have been the place in the world where the argument fit least.  Western Jerusalem had no problem becoming part of Israeli democracy, and while Jordan didn’t become a full democracy, its political life became much more participatory after the West Bank was annexed.   Perhaps the TC delegates </w:t>
      </w:r>
      <w:r w:rsidRPr="00E57E41">
        <w:rPr>
          <w:bCs/>
          <w:sz w:val="28"/>
          <w:szCs w:val="28"/>
        </w:rPr>
        <w:t>could have said that democ</w:t>
      </w:r>
      <w:r>
        <w:rPr>
          <w:bCs/>
          <w:sz w:val="28"/>
          <w:szCs w:val="28"/>
        </w:rPr>
        <w:t>racy</w:t>
      </w:r>
      <w:r w:rsidRPr="00E57E41">
        <w:rPr>
          <w:bCs/>
          <w:sz w:val="28"/>
          <w:szCs w:val="28"/>
        </w:rPr>
        <w:t xml:space="preserve"> wouldn’t work in a situation of an isolated city in a </w:t>
      </w:r>
      <w:proofErr w:type="gramStart"/>
      <w:r w:rsidRPr="00E57E41">
        <w:rPr>
          <w:bCs/>
          <w:sz w:val="28"/>
          <w:szCs w:val="28"/>
        </w:rPr>
        <w:t>war-zone</w:t>
      </w:r>
      <w:proofErr w:type="gramEnd"/>
      <w:r w:rsidRPr="00E57E41">
        <w:rPr>
          <w:bCs/>
          <w:sz w:val="28"/>
          <w:szCs w:val="28"/>
        </w:rPr>
        <w:t>, spilt 50-50 by the warring parties, ruled by a</w:t>
      </w:r>
      <w:r>
        <w:rPr>
          <w:bCs/>
          <w:sz w:val="28"/>
          <w:szCs w:val="28"/>
        </w:rPr>
        <w:t>n appointed Governor, unwanted by most of the population,</w:t>
      </w:r>
      <w:r>
        <w:rPr>
          <w:rStyle w:val="EndnoteReference"/>
          <w:bCs/>
          <w:sz w:val="28"/>
          <w:szCs w:val="28"/>
        </w:rPr>
        <w:endnoteReference w:id="181"/>
      </w:r>
      <w:r>
        <w:rPr>
          <w:bCs/>
          <w:sz w:val="28"/>
          <w:szCs w:val="28"/>
        </w:rPr>
        <w:t xml:space="preserve"> </w:t>
      </w:r>
      <w:r w:rsidRPr="00E57E41">
        <w:rPr>
          <w:bCs/>
          <w:sz w:val="28"/>
          <w:szCs w:val="28"/>
        </w:rPr>
        <w:t>for the sake of outside interests</w:t>
      </w:r>
      <w:r>
        <w:rPr>
          <w:bCs/>
          <w:sz w:val="28"/>
          <w:szCs w:val="28"/>
        </w:rPr>
        <w:t>, like a colony,</w:t>
      </w:r>
      <w:r w:rsidRPr="00E57E41">
        <w:rPr>
          <w:bCs/>
          <w:sz w:val="28"/>
          <w:szCs w:val="28"/>
        </w:rPr>
        <w:t xml:space="preserve"> without a force to </w:t>
      </w:r>
      <w:r>
        <w:rPr>
          <w:bCs/>
          <w:sz w:val="28"/>
          <w:szCs w:val="28"/>
        </w:rPr>
        <w:t xml:space="preserve">support </w:t>
      </w:r>
      <w:r w:rsidRPr="00E57E41">
        <w:rPr>
          <w:bCs/>
          <w:sz w:val="28"/>
          <w:szCs w:val="28"/>
        </w:rPr>
        <w:t xml:space="preserve">its decisions.  But had they admitted </w:t>
      </w:r>
      <w:proofErr w:type="gramStart"/>
      <w:r w:rsidRPr="00E57E41">
        <w:rPr>
          <w:bCs/>
          <w:sz w:val="28"/>
          <w:szCs w:val="28"/>
        </w:rPr>
        <w:t>that,</w:t>
      </w:r>
      <w:proofErr w:type="gramEnd"/>
      <w:r w:rsidRPr="00E57E41">
        <w:rPr>
          <w:bCs/>
          <w:sz w:val="28"/>
          <w:szCs w:val="28"/>
        </w:rPr>
        <w:t xml:space="preserve"> they would have had to admit that it was the project itself that was impossible</w:t>
      </w:r>
      <w:r>
        <w:rPr>
          <w:bCs/>
          <w:sz w:val="28"/>
          <w:szCs w:val="28"/>
        </w:rPr>
        <w:t>.</w:t>
      </w:r>
    </w:p>
    <w:p w14:paraId="02A87DCB" w14:textId="77777777" w:rsidR="00A97A17" w:rsidRDefault="00A97A17" w:rsidP="00A97A17">
      <w:pPr>
        <w:rPr>
          <w:bCs/>
          <w:sz w:val="28"/>
          <w:szCs w:val="28"/>
        </w:rPr>
      </w:pPr>
    </w:p>
    <w:p w14:paraId="14EE8AEC" w14:textId="77777777" w:rsidR="00A97A17" w:rsidRDefault="00A97A17" w:rsidP="00A97A17">
      <w:pPr>
        <w:rPr>
          <w:bCs/>
          <w:sz w:val="28"/>
          <w:szCs w:val="28"/>
        </w:rPr>
      </w:pPr>
      <w:r>
        <w:rPr>
          <w:bCs/>
          <w:sz w:val="28"/>
          <w:szCs w:val="28"/>
        </w:rPr>
        <w:t>The decision-makers of that time and up to the present had all the documents of the various precedents available to them, they knew the politics, and they had lived through these experiments.  Danzig and Memel came to grief in the German invasions and were normalized post-WW II.  The Saar went back to Germany, twice, and Trieste was allowed to be taken over by states.  All were sources of intense conflict and international instability, particularly the first two.</w:t>
      </w:r>
      <w:r>
        <w:rPr>
          <w:rStyle w:val="EndnoteReference"/>
          <w:bCs/>
          <w:sz w:val="28"/>
          <w:szCs w:val="28"/>
        </w:rPr>
        <w:endnoteReference w:id="182"/>
      </w:r>
      <w:r>
        <w:rPr>
          <w:bCs/>
          <w:sz w:val="28"/>
          <w:szCs w:val="28"/>
        </w:rPr>
        <w:t xml:space="preserve">  </w:t>
      </w:r>
      <w:r w:rsidRPr="007F3F74">
        <w:rPr>
          <w:bCs/>
          <w:sz w:val="28"/>
          <w:szCs w:val="28"/>
        </w:rPr>
        <w:t xml:space="preserve"> </w:t>
      </w:r>
      <w:r>
        <w:rPr>
          <w:bCs/>
          <w:sz w:val="28"/>
          <w:szCs w:val="28"/>
        </w:rPr>
        <w:t>For the most part, lessons were learned and applied in the post-WWII era, and most of the ambiguity of the Versailles system of treaties was replaced with clear boundaries.  When Herbert Samuel, who had been the first British High Commissioner of the Palestine Mandate criticized the Peel Plan for partition in 1937, he did it thus: “</w:t>
      </w:r>
      <w:r w:rsidRPr="00E51EEC">
        <w:rPr>
          <w:bCs/>
          <w:sz w:val="28"/>
          <w:szCs w:val="28"/>
        </w:rPr>
        <w:t xml:space="preserve">The Commission seemed to have picked out all the most awkward provisions of the Peace Treaties of Versailles, and to have put a Saar, a Polish Corridor and half a dozen </w:t>
      </w:r>
      <w:proofErr w:type="spellStart"/>
      <w:r w:rsidRPr="00E51EEC">
        <w:rPr>
          <w:bCs/>
          <w:sz w:val="28"/>
          <w:szCs w:val="28"/>
        </w:rPr>
        <w:t>Danzigs</w:t>
      </w:r>
      <w:proofErr w:type="spellEnd"/>
      <w:r w:rsidRPr="00E51EEC">
        <w:rPr>
          <w:bCs/>
          <w:sz w:val="28"/>
          <w:szCs w:val="28"/>
        </w:rPr>
        <w:t xml:space="preserve"> and </w:t>
      </w:r>
      <w:proofErr w:type="spellStart"/>
      <w:r w:rsidRPr="00E51EEC">
        <w:rPr>
          <w:bCs/>
          <w:sz w:val="28"/>
          <w:szCs w:val="28"/>
        </w:rPr>
        <w:t>Memels</w:t>
      </w:r>
      <w:proofErr w:type="spellEnd"/>
      <w:r w:rsidRPr="00E51EEC">
        <w:rPr>
          <w:bCs/>
          <w:sz w:val="28"/>
          <w:szCs w:val="28"/>
        </w:rPr>
        <w:t xml:space="preserve"> into a country the size of</w:t>
      </w:r>
      <w:r>
        <w:rPr>
          <w:bCs/>
          <w:sz w:val="28"/>
          <w:szCs w:val="28"/>
        </w:rPr>
        <w:t xml:space="preserve"> Wales.”</w:t>
      </w:r>
      <w:r>
        <w:rPr>
          <w:rStyle w:val="EndnoteReference"/>
          <w:bCs/>
          <w:sz w:val="28"/>
          <w:szCs w:val="28"/>
        </w:rPr>
        <w:endnoteReference w:id="183"/>
      </w:r>
      <w:r>
        <w:rPr>
          <w:bCs/>
          <w:sz w:val="28"/>
          <w:szCs w:val="28"/>
        </w:rPr>
        <w:t xml:space="preserve">  Everyone understood that this had been tried, and failed; just not in the case of Jerusalem, and that has continued to this day.</w:t>
      </w:r>
    </w:p>
    <w:p w14:paraId="1E543FBA" w14:textId="77777777" w:rsidR="00A97A17" w:rsidRDefault="00A97A17" w:rsidP="00A97A17">
      <w:pPr>
        <w:rPr>
          <w:bCs/>
          <w:sz w:val="28"/>
          <w:szCs w:val="28"/>
        </w:rPr>
      </w:pPr>
    </w:p>
    <w:p w14:paraId="211D91B2" w14:textId="77777777" w:rsidR="00A97A17" w:rsidRDefault="00A97A17" w:rsidP="00A97A17">
      <w:pPr>
        <w:rPr>
          <w:bCs/>
          <w:sz w:val="28"/>
          <w:szCs w:val="28"/>
        </w:rPr>
      </w:pPr>
      <w:r>
        <w:rPr>
          <w:bCs/>
          <w:sz w:val="28"/>
          <w:szCs w:val="28"/>
        </w:rPr>
        <w:t xml:space="preserve">It isn’t just that the diplomats at the UN were willing to ignore the political science and historical lessons of the League and WWII, they also ignored the prevailing ideas in the psychology of war and peace.  The psychoanalytic community was concerned with the issue in the 1930s, and many of them wrote about it.   The general understanding was that war often followed from the specific behaviors of people in masses.  Freud singled out nationalism as a source </w:t>
      </w:r>
      <w:r>
        <w:rPr>
          <w:bCs/>
          <w:sz w:val="28"/>
          <w:szCs w:val="28"/>
        </w:rPr>
        <w:lastRenderedPageBreak/>
        <w:t>of mass psychology and the wars that follow it.</w:t>
      </w:r>
      <w:r>
        <w:rPr>
          <w:rStyle w:val="EndnoteReference"/>
          <w:bCs/>
          <w:sz w:val="28"/>
          <w:szCs w:val="28"/>
        </w:rPr>
        <w:endnoteReference w:id="184"/>
      </w:r>
      <w:r>
        <w:rPr>
          <w:bCs/>
          <w:sz w:val="28"/>
          <w:szCs w:val="28"/>
        </w:rPr>
        <w:t xml:space="preserve">  People in a mass surrendered their conscience to a </w:t>
      </w:r>
      <w:proofErr w:type="gramStart"/>
      <w:r>
        <w:rPr>
          <w:bCs/>
          <w:sz w:val="28"/>
          <w:szCs w:val="28"/>
        </w:rPr>
        <w:t>leader, and</w:t>
      </w:r>
      <w:proofErr w:type="gramEnd"/>
      <w:r>
        <w:rPr>
          <w:bCs/>
          <w:sz w:val="28"/>
          <w:szCs w:val="28"/>
        </w:rPr>
        <w:t xml:space="preserve"> could be expected to follow whatever orders.  The war certainly confirmed much of this.  There is nothing in the psychological understanding of the time that would allow anyone to think that by forcing two opposed, nationalist groups to share a city, they would learn to get along.  Perhaps the most generous interpretation of their actions is to say that the authors of the resolution were under the spell of a mass delusion.  </w:t>
      </w:r>
    </w:p>
    <w:p w14:paraId="066B2C50" w14:textId="77777777" w:rsidR="00A97A17" w:rsidRDefault="00A97A17" w:rsidP="00A97A17">
      <w:pPr>
        <w:rPr>
          <w:bCs/>
          <w:sz w:val="28"/>
          <w:szCs w:val="28"/>
        </w:rPr>
      </w:pPr>
    </w:p>
    <w:p w14:paraId="588FB9F3" w14:textId="77777777" w:rsidR="00A97A17" w:rsidRDefault="00A97A17" w:rsidP="00A97A17">
      <w:pPr>
        <w:rPr>
          <w:bCs/>
          <w:sz w:val="28"/>
          <w:szCs w:val="28"/>
        </w:rPr>
      </w:pPr>
      <w:r>
        <w:rPr>
          <w:bCs/>
          <w:sz w:val="28"/>
          <w:szCs w:val="28"/>
        </w:rPr>
        <w:t>The diplomats opted for demilitarization as well, an odd choice for a generation who had seen the remilitarization of the Rhineland and the swift change in the balance of forces in Western Europe that led to catastrophic war.  That action was conducted without any response from the allies, though it was in their own backyard.  Demilitarization without control or oversight should certainly have triggered traumatic memories for some of these people, but apparently WWII was in some foggy past that didn’t hold lessons for them.</w:t>
      </w:r>
      <w:r>
        <w:rPr>
          <w:rStyle w:val="EndnoteReference"/>
          <w:bCs/>
          <w:sz w:val="28"/>
          <w:szCs w:val="28"/>
        </w:rPr>
        <w:endnoteReference w:id="185"/>
      </w:r>
      <w:r>
        <w:rPr>
          <w:bCs/>
          <w:sz w:val="28"/>
          <w:szCs w:val="28"/>
        </w:rPr>
        <w:t xml:space="preserve">     </w:t>
      </w:r>
    </w:p>
    <w:p w14:paraId="1CDD84A8" w14:textId="77777777" w:rsidR="00A97A17" w:rsidRDefault="00A97A17" w:rsidP="00A97A17">
      <w:pPr>
        <w:rPr>
          <w:bCs/>
          <w:sz w:val="28"/>
          <w:szCs w:val="28"/>
        </w:rPr>
      </w:pPr>
    </w:p>
    <w:p w14:paraId="7936F1A7" w14:textId="77777777" w:rsidR="00A97A17" w:rsidRDefault="00A97A17" w:rsidP="00A97A17">
      <w:pPr>
        <w:rPr>
          <w:bCs/>
          <w:sz w:val="28"/>
          <w:szCs w:val="28"/>
        </w:rPr>
      </w:pPr>
      <w:r>
        <w:rPr>
          <w:bCs/>
          <w:sz w:val="28"/>
          <w:szCs w:val="28"/>
        </w:rPr>
        <w:t xml:space="preserve"> It isn’t just ambiguity that is at issue here, it is the specific conditions on the ground: this was a city divided in half by warring communities.</w:t>
      </w:r>
      <w:r>
        <w:rPr>
          <w:rStyle w:val="EndnoteReference"/>
          <w:bCs/>
          <w:sz w:val="28"/>
          <w:szCs w:val="28"/>
        </w:rPr>
        <w:endnoteReference w:id="186"/>
      </w:r>
      <w:r>
        <w:rPr>
          <w:bCs/>
          <w:sz w:val="28"/>
          <w:szCs w:val="28"/>
        </w:rPr>
        <w:t xml:space="preserve">  While the end of WWII gave the victors a chance to move tens of millions of people in the name of a more peaceable world, only here did they think that the close proximity of a shared city would not give them the opportunity to shoot at each other, but to learn to cooperate.  In the context, this can only be seen as bizarre, or an invitation for them to shoot at each other.    So many of the inter-war authors said that it was not enough to clarify the ambiguity of the legal instruments.  Without a will to peace, any settlement, no matter how clear, was sure to fail.  Certainly, they had all been told again and again that the communities didn’t want to live together.  Certainly, they would use the same tool - constant struggle and instability - to convince the international community to change the situation.  Graves says this, in a clear echo of van Hamel: </w:t>
      </w:r>
      <w:r w:rsidRPr="001A1060">
        <w:rPr>
          <w:bCs/>
          <w:sz w:val="28"/>
          <w:szCs w:val="28"/>
        </w:rPr>
        <w:t xml:space="preserve">“The Jews, of course, blame the change in UNO’s attitude on the British, who, they say, have connived at chaos and civil strife in Palestine with the object of proving to the world that partition would never work.” </w:t>
      </w:r>
      <w:r>
        <w:rPr>
          <w:rStyle w:val="EndnoteReference"/>
          <w:bCs/>
          <w:sz w:val="28"/>
          <w:szCs w:val="28"/>
        </w:rPr>
        <w:endnoteReference w:id="187"/>
      </w:r>
      <w:r>
        <w:rPr>
          <w:bCs/>
          <w:sz w:val="28"/>
          <w:szCs w:val="28"/>
        </w:rPr>
        <w:t xml:space="preserve">  If the tool could be used against partition, why not against unwanted internationalization, as had been done before?</w:t>
      </w:r>
    </w:p>
    <w:p w14:paraId="4BE17E97" w14:textId="77777777" w:rsidR="00A97A17" w:rsidRDefault="00A97A17" w:rsidP="00A97A17">
      <w:pPr>
        <w:rPr>
          <w:bCs/>
          <w:sz w:val="28"/>
          <w:szCs w:val="28"/>
        </w:rPr>
      </w:pPr>
    </w:p>
    <w:p w14:paraId="24C2487D" w14:textId="77777777" w:rsidR="00A97A17" w:rsidRDefault="00A97A17" w:rsidP="00A97A17">
      <w:pPr>
        <w:rPr>
          <w:bCs/>
          <w:sz w:val="28"/>
          <w:szCs w:val="28"/>
        </w:rPr>
      </w:pPr>
    </w:p>
    <w:p w14:paraId="4C63B0E3" w14:textId="77777777" w:rsidR="00A97A17" w:rsidRDefault="00A97A17" w:rsidP="00A97A17">
      <w:pPr>
        <w:rPr>
          <w:bCs/>
          <w:iCs/>
          <w:sz w:val="28"/>
          <w:szCs w:val="28"/>
        </w:rPr>
      </w:pPr>
      <w:r>
        <w:rPr>
          <w:bCs/>
          <w:sz w:val="28"/>
          <w:szCs w:val="28"/>
        </w:rPr>
        <w:t xml:space="preserve">If the decision-makers then, and now as well, had all this information before them and still chose to create conditions they knew would create conflict, we must </w:t>
      </w:r>
      <w:r>
        <w:rPr>
          <w:bCs/>
          <w:sz w:val="28"/>
          <w:szCs w:val="28"/>
        </w:rPr>
        <w:lastRenderedPageBreak/>
        <w:t>judge them harshly; they knowingly designed an insoluble mess that must lead to strife.  Morrow would agree:</w:t>
      </w:r>
      <w:r w:rsidRPr="00BE6CDD">
        <w:rPr>
          <w:bCs/>
          <w:i/>
          <w:iCs/>
          <w:sz w:val="28"/>
          <w:szCs w:val="28"/>
        </w:rPr>
        <w:t xml:space="preserve"> </w:t>
      </w:r>
      <w:r w:rsidRPr="00AA2261">
        <w:rPr>
          <w:bCs/>
          <w:iCs/>
          <w:sz w:val="28"/>
          <w:szCs w:val="28"/>
        </w:rPr>
        <w:t>“The peacemakers were aware of its [the basic precondition that the two sides would want a peaceful settlement] absence.  Only the grossest self-deception could have blinded them to the existence of racial animosity between the peoples whose destinies lay in their hands.  It is because they cannot plead ignorance that the peacemakers must bear a heavy responsibility for their failure to give unmistakable definition to the rights and privileges conferred upon the several races comprised in the peace settlement.”</w:t>
      </w:r>
      <w:r w:rsidRPr="00AA2261">
        <w:rPr>
          <w:rStyle w:val="EndnoteReference"/>
          <w:bCs/>
          <w:iCs/>
          <w:sz w:val="28"/>
          <w:szCs w:val="28"/>
        </w:rPr>
        <w:endnoteReference w:id="188"/>
      </w:r>
      <w:r>
        <w:rPr>
          <w:bCs/>
          <w:iCs/>
          <w:sz w:val="28"/>
          <w:szCs w:val="28"/>
        </w:rPr>
        <w:t xml:space="preserve">  Mason, writing of Danzig, agrees:</w:t>
      </w:r>
      <w:r w:rsidRPr="000E31BF">
        <w:rPr>
          <w:bCs/>
          <w:i/>
          <w:iCs/>
          <w:sz w:val="28"/>
          <w:szCs w:val="28"/>
        </w:rPr>
        <w:t xml:space="preserve"> </w:t>
      </w:r>
      <w:r w:rsidRPr="000E31BF">
        <w:rPr>
          <w:bCs/>
          <w:iCs/>
          <w:sz w:val="28"/>
          <w:szCs w:val="28"/>
        </w:rPr>
        <w:t>“The States Members of the Council did not act blindly, without an idea of the implications of their action.</w:t>
      </w:r>
      <w:r w:rsidRPr="000E31BF">
        <w:rPr>
          <w:bCs/>
          <w:i/>
          <w:iCs/>
          <w:sz w:val="28"/>
          <w:szCs w:val="28"/>
        </w:rPr>
        <w:t>”</w:t>
      </w:r>
      <w:r>
        <w:rPr>
          <w:rStyle w:val="EndnoteReference"/>
          <w:bCs/>
          <w:i/>
          <w:iCs/>
          <w:sz w:val="28"/>
          <w:szCs w:val="28"/>
        </w:rPr>
        <w:endnoteReference w:id="189"/>
      </w:r>
    </w:p>
    <w:p w14:paraId="2785C743" w14:textId="77777777" w:rsidR="00A97A17" w:rsidRPr="007345B4" w:rsidRDefault="00A97A17" w:rsidP="00A97A17">
      <w:pPr>
        <w:rPr>
          <w:bCs/>
          <w:iCs/>
          <w:sz w:val="28"/>
          <w:szCs w:val="28"/>
        </w:rPr>
      </w:pPr>
      <w:r>
        <w:rPr>
          <w:bCs/>
          <w:iCs/>
          <w:sz w:val="28"/>
          <w:szCs w:val="28"/>
        </w:rPr>
        <w:t xml:space="preserve">We must be willing to apply the same tests to the decision-makers of that time: should they have known the implications of their decisions?  Did they have enough knowledge to understand that conflict would ensue?  If the answers are reasonably yes, then they too must bear a heavy responsibility for the struggles that followed.  The earlier failures needed just one war to be cleaned up and regularized; the anomalies imposed on Palestine and Israel continued to be reaffirmed through a number of wars, though each has offered proof that the approach will only bring more war.  Thus, the responsibility is broadly spread.  </w:t>
      </w:r>
    </w:p>
    <w:p w14:paraId="523A242A" w14:textId="77777777" w:rsidR="00A97A17" w:rsidRDefault="00A97A17" w:rsidP="00A97A17">
      <w:pPr>
        <w:rPr>
          <w:bCs/>
          <w:i/>
          <w:iCs/>
          <w:sz w:val="28"/>
          <w:szCs w:val="28"/>
        </w:rPr>
      </w:pPr>
    </w:p>
    <w:p w14:paraId="1B8A3C65" w14:textId="77777777" w:rsidR="00A97A17" w:rsidRPr="0082265F" w:rsidRDefault="00A97A17" w:rsidP="00A97A17">
      <w:pPr>
        <w:rPr>
          <w:bCs/>
          <w:iCs/>
          <w:sz w:val="28"/>
          <w:szCs w:val="28"/>
        </w:rPr>
      </w:pPr>
      <w:r>
        <w:rPr>
          <w:bCs/>
          <w:iCs/>
          <w:sz w:val="28"/>
          <w:szCs w:val="28"/>
        </w:rPr>
        <w:t xml:space="preserve">How typical then, that the Jews, known as a </w:t>
      </w:r>
      <w:proofErr w:type="gramStart"/>
      <w:r>
        <w:rPr>
          <w:bCs/>
          <w:iCs/>
          <w:sz w:val="28"/>
          <w:szCs w:val="28"/>
        </w:rPr>
        <w:t>people</w:t>
      </w:r>
      <w:proofErr w:type="gramEnd"/>
      <w:r>
        <w:rPr>
          <w:bCs/>
          <w:iCs/>
          <w:sz w:val="28"/>
          <w:szCs w:val="28"/>
        </w:rPr>
        <w:t xml:space="preserve"> apart from all others, should have a state where anomalies abound: </w:t>
      </w:r>
      <w:r w:rsidRPr="00175768">
        <w:rPr>
          <w:bCs/>
          <w:iCs/>
          <w:sz w:val="28"/>
          <w:szCs w:val="28"/>
        </w:rPr>
        <w:t>“Israel, after all, is the exception to every rule.”</w:t>
      </w:r>
      <w:r>
        <w:rPr>
          <w:rStyle w:val="EndnoteReference"/>
          <w:bCs/>
          <w:iCs/>
          <w:sz w:val="28"/>
          <w:szCs w:val="28"/>
        </w:rPr>
        <w:endnoteReference w:id="190"/>
      </w:r>
      <w:r>
        <w:rPr>
          <w:bCs/>
          <w:iCs/>
          <w:sz w:val="28"/>
          <w:szCs w:val="28"/>
        </w:rPr>
        <w:t xml:space="preserve">  and that state should have a capital, a </w:t>
      </w:r>
      <w:r>
        <w:rPr>
          <w:bCs/>
          <w:i/>
          <w:iCs/>
          <w:sz w:val="28"/>
          <w:szCs w:val="28"/>
        </w:rPr>
        <w:t xml:space="preserve">corpus separatum </w:t>
      </w:r>
      <w:r>
        <w:rPr>
          <w:bCs/>
          <w:iCs/>
          <w:sz w:val="28"/>
          <w:szCs w:val="28"/>
        </w:rPr>
        <w:t>that isn’t even a part of the state it rules.  Paying attention to the anomalies we are willing to tolerate can teach us a great deal about ourselves and the stories that we are protecting from the harsh light of the world.</w:t>
      </w:r>
      <w:r>
        <w:rPr>
          <w:rStyle w:val="EndnoteReference"/>
          <w:bCs/>
          <w:iCs/>
          <w:sz w:val="28"/>
          <w:szCs w:val="28"/>
        </w:rPr>
        <w:endnoteReference w:id="191"/>
      </w:r>
      <w:r>
        <w:rPr>
          <w:bCs/>
          <w:iCs/>
          <w:sz w:val="28"/>
          <w:szCs w:val="28"/>
        </w:rPr>
        <w:t xml:space="preserve">   The international community has been willing not just to tolerate anomalies in Palestine and Israel, but to create them, and in large number.  Graves was right in naming his book: if ever there was a place where the international community has run an </w:t>
      </w:r>
      <w:r w:rsidRPr="00863D60">
        <w:rPr>
          <w:bCs/>
          <w:i/>
          <w:iCs/>
          <w:sz w:val="28"/>
          <w:szCs w:val="28"/>
        </w:rPr>
        <w:t>Experiment in Anarchy</w:t>
      </w:r>
      <w:r>
        <w:rPr>
          <w:bCs/>
          <w:iCs/>
          <w:sz w:val="28"/>
          <w:szCs w:val="28"/>
        </w:rPr>
        <w:t xml:space="preserve">, that is it.  The results have been predictable. </w:t>
      </w:r>
    </w:p>
    <w:p w14:paraId="213BC011" w14:textId="77777777" w:rsidR="00A97A17" w:rsidRPr="00CF5702" w:rsidRDefault="00A97A17" w:rsidP="00A97A17">
      <w:pPr>
        <w:rPr>
          <w:bCs/>
          <w:iCs/>
          <w:sz w:val="28"/>
          <w:szCs w:val="28"/>
        </w:rPr>
      </w:pPr>
    </w:p>
    <w:p w14:paraId="0C4409B2" w14:textId="77777777" w:rsidR="00A97A17" w:rsidRPr="000E31BF" w:rsidRDefault="00A97A17" w:rsidP="00A97A17">
      <w:pPr>
        <w:rPr>
          <w:bCs/>
          <w:iCs/>
          <w:sz w:val="28"/>
          <w:szCs w:val="28"/>
        </w:rPr>
      </w:pPr>
    </w:p>
    <w:p w14:paraId="2934AA03" w14:textId="77777777" w:rsidR="00A97A17" w:rsidRPr="00BE6CDD" w:rsidRDefault="00A97A17" w:rsidP="00A97A17">
      <w:pPr>
        <w:rPr>
          <w:bCs/>
          <w:iCs/>
          <w:sz w:val="28"/>
          <w:szCs w:val="28"/>
        </w:rPr>
      </w:pPr>
    </w:p>
    <w:p w14:paraId="646AFF58" w14:textId="77777777" w:rsidR="00A97A17" w:rsidRPr="00480BBF" w:rsidRDefault="00A97A17" w:rsidP="00A97A17">
      <w:pPr>
        <w:rPr>
          <w:bCs/>
          <w:sz w:val="28"/>
          <w:szCs w:val="28"/>
        </w:rPr>
      </w:pPr>
      <w:r>
        <w:rPr>
          <w:bCs/>
          <w:sz w:val="28"/>
          <w:szCs w:val="28"/>
        </w:rPr>
        <w:t xml:space="preserve">  </w:t>
      </w:r>
    </w:p>
    <w:p w14:paraId="77D2AD08" w14:textId="77777777" w:rsidR="00A97A17" w:rsidRPr="00963B37" w:rsidRDefault="00A97A17" w:rsidP="00A97A17">
      <w:pPr>
        <w:rPr>
          <w:bCs/>
          <w:sz w:val="28"/>
          <w:szCs w:val="28"/>
        </w:rPr>
      </w:pPr>
    </w:p>
    <w:p w14:paraId="6844F27B" w14:textId="77777777" w:rsidR="00A97A17" w:rsidRPr="001566F5" w:rsidRDefault="00A97A17" w:rsidP="00A97A17">
      <w:pPr>
        <w:rPr>
          <w:sz w:val="28"/>
          <w:szCs w:val="28"/>
        </w:rPr>
      </w:pPr>
      <w:r>
        <w:rPr>
          <w:sz w:val="28"/>
          <w:szCs w:val="28"/>
        </w:rPr>
        <w:t xml:space="preserve">  </w:t>
      </w:r>
    </w:p>
    <w:p w14:paraId="38174C26" w14:textId="77777777" w:rsidR="00A97A17" w:rsidRDefault="00A97A17" w:rsidP="00A97A17">
      <w:pPr>
        <w:rPr>
          <w:sz w:val="28"/>
          <w:szCs w:val="28"/>
        </w:rPr>
      </w:pPr>
      <w:r>
        <w:rPr>
          <w:sz w:val="28"/>
          <w:szCs w:val="28"/>
        </w:rPr>
        <w:t xml:space="preserve"> </w:t>
      </w:r>
    </w:p>
    <w:p w14:paraId="70D1241F" w14:textId="77777777" w:rsidR="00A97A17" w:rsidRDefault="00A97A17" w:rsidP="00A97A17">
      <w:pPr>
        <w:rPr>
          <w:sz w:val="28"/>
          <w:szCs w:val="28"/>
        </w:rPr>
      </w:pPr>
    </w:p>
    <w:p w14:paraId="22639CB2" w14:textId="77777777" w:rsidR="00A97A17" w:rsidRPr="00492B60" w:rsidRDefault="00A97A17" w:rsidP="00A97A17">
      <w:pPr>
        <w:rPr>
          <w:sz w:val="28"/>
          <w:szCs w:val="28"/>
        </w:rPr>
      </w:pPr>
      <w:r>
        <w:rPr>
          <w:sz w:val="28"/>
          <w:szCs w:val="28"/>
        </w:rPr>
        <w:lastRenderedPageBreak/>
        <w:t xml:space="preserve"> </w:t>
      </w:r>
    </w:p>
    <w:p w14:paraId="04DAE618" w14:textId="77777777" w:rsidR="00F750A0" w:rsidRDefault="008579B2"/>
    <w:sectPr w:rsidR="00F750A0" w:rsidSect="008C37D5">
      <w:footerReference w:type="even" r:id="rId9"/>
      <w:footerReference w:type="default" r:id="rId10"/>
      <w:endnotePr>
        <w:numFmt w:val="decimal"/>
      </w:endnotePr>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zaccai lewis" w:date="2020-01-08T08:29:00Z" w:initials="zl">
    <w:p w14:paraId="627F0DA3" w14:textId="77777777" w:rsidR="00A97A17" w:rsidRDefault="00A97A17" w:rsidP="00A97A17">
      <w:pPr>
        <w:pStyle w:val="CommentText"/>
      </w:pPr>
      <w:r>
        <w:rPr>
          <w:rStyle w:val="CommentReference"/>
        </w:rPr>
        <w:annotationRef/>
      </w:r>
      <w:r>
        <w:t>Put a #?</w:t>
      </w:r>
    </w:p>
  </w:comment>
  <w:comment w:id="1" w:author="zaccai lewis" w:date="2020-01-08T08:41:00Z" w:initials="zl">
    <w:p w14:paraId="3F3B102A" w14:textId="77777777" w:rsidR="00A97A17" w:rsidRDefault="00A97A17" w:rsidP="00A97A17">
      <w:pPr>
        <w:pStyle w:val="CommentText"/>
      </w:pPr>
      <w:r>
        <w:rPr>
          <w:rStyle w:val="CommentReference"/>
        </w:rPr>
        <w:annotationRef/>
      </w:r>
      <w:r>
        <w:t>Fn from Stone?</w:t>
      </w:r>
    </w:p>
  </w:comment>
  <w:comment w:id="2" w:author="zaccai lewis" w:date="2020-01-16T08:50:00Z" w:initials="zl">
    <w:p w14:paraId="57E7EEF4" w14:textId="77777777" w:rsidR="00A97A17" w:rsidRDefault="00A97A17" w:rsidP="00A97A17">
      <w:pPr>
        <w:pStyle w:val="CommentText"/>
      </w:pPr>
      <w:r>
        <w:rPr>
          <w:rStyle w:val="CommentReference"/>
        </w:rPr>
        <w:annotationRef/>
      </w:r>
      <w:r>
        <w:t>Get a fn to prove</w:t>
      </w:r>
    </w:p>
  </w:comment>
  <w:comment w:id="3" w:author="zaccai lewis" w:date="2020-01-16T08:52:00Z" w:initials="zl">
    <w:p w14:paraId="77C6DC5B" w14:textId="77777777" w:rsidR="00A97A17" w:rsidRDefault="00A97A17" w:rsidP="00A97A17">
      <w:pPr>
        <w:pStyle w:val="CommentText"/>
      </w:pPr>
      <w:r>
        <w:rPr>
          <w:rStyle w:val="CommentReference"/>
        </w:rPr>
        <w:annotationRef/>
      </w:r>
      <w:r>
        <w:t>Where does this go?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27F0DA3" w15:done="0"/>
  <w15:commentEx w15:paraId="3F3B102A" w15:done="0"/>
  <w15:commentEx w15:paraId="57E7EEF4" w15:done="0"/>
  <w15:commentEx w15:paraId="77C6DC5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27F0DA3" w16cid:durableId="21C01178"/>
  <w16cid:commentId w16cid:paraId="3F3B102A" w16cid:durableId="21C01453"/>
  <w16cid:commentId w16cid:paraId="57E7EEF4" w16cid:durableId="21CAA257"/>
  <w16cid:commentId w16cid:paraId="77C6DC5B" w16cid:durableId="21CAA2C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11AA6D" w14:textId="77777777" w:rsidR="008579B2" w:rsidRDefault="008579B2" w:rsidP="00A97A17">
      <w:r>
        <w:separator/>
      </w:r>
    </w:p>
  </w:endnote>
  <w:endnote w:type="continuationSeparator" w:id="0">
    <w:p w14:paraId="2D9EAA01" w14:textId="77777777" w:rsidR="008579B2" w:rsidRDefault="008579B2" w:rsidP="00A97A17">
      <w:r>
        <w:continuationSeparator/>
      </w:r>
    </w:p>
  </w:endnote>
  <w:endnote w:id="1">
    <w:p w14:paraId="23008778" w14:textId="77777777" w:rsidR="00A97A17" w:rsidRPr="007814B6" w:rsidRDefault="00A97A17" w:rsidP="00A97A17">
      <w:pPr>
        <w:pStyle w:val="EndnoteText"/>
      </w:pPr>
      <w:r>
        <w:rPr>
          <w:rStyle w:val="EndnoteReference"/>
        </w:rPr>
        <w:endnoteRef/>
      </w:r>
      <w:r>
        <w:t xml:space="preserve"> Peter Berger, “The Internationalization of Jerusalem,” </w:t>
      </w:r>
      <w:r>
        <w:rPr>
          <w:i/>
        </w:rPr>
        <w:t xml:space="preserve">Jurist </w:t>
      </w:r>
      <w:r>
        <w:t>10, (1950): 357.  Berger taught law at the Catholic University of America and wrote in support of the Vatican position.</w:t>
      </w:r>
    </w:p>
  </w:endnote>
  <w:endnote w:id="2">
    <w:p w14:paraId="6659DC89" w14:textId="77777777" w:rsidR="00A97A17" w:rsidRDefault="00A97A17" w:rsidP="00A97A17">
      <w:pPr>
        <w:pStyle w:val="EndnoteText"/>
      </w:pPr>
      <w:r>
        <w:rPr>
          <w:rStyle w:val="EndnoteReference"/>
        </w:rPr>
        <w:endnoteRef/>
      </w:r>
      <w:r>
        <w:t xml:space="preserve"> Zaccai Lewis, “Creating No-Man’s Land and the Conditions for Conflict in the Middle East”, unpublished manuscript, 2019.  </w:t>
      </w:r>
    </w:p>
  </w:endnote>
  <w:endnote w:id="3">
    <w:p w14:paraId="206E5AB9" w14:textId="77777777" w:rsidR="00A97A17" w:rsidRDefault="00A97A17" w:rsidP="00A97A17">
      <w:pPr>
        <w:pStyle w:val="EndnoteText"/>
      </w:pPr>
      <w:r>
        <w:rPr>
          <w:rStyle w:val="EndnoteReference"/>
        </w:rPr>
        <w:endnoteRef/>
      </w:r>
      <w:r w:rsidRPr="00371267">
        <w:t>Paul</w:t>
      </w:r>
      <w:r>
        <w:t xml:space="preserve"> </w:t>
      </w:r>
      <w:r w:rsidRPr="00371267">
        <w:t xml:space="preserve">Birdsall, </w:t>
      </w:r>
      <w:r w:rsidRPr="00371267">
        <w:rPr>
          <w:i/>
        </w:rPr>
        <w:t xml:space="preserve">Versailles Twenty Years After, </w:t>
      </w:r>
      <w:r>
        <w:t>(</w:t>
      </w:r>
      <w:r w:rsidRPr="00371267">
        <w:t>Hamden, Conn: Archon Books, 1962, first pub 1941</w:t>
      </w:r>
      <w:r>
        <w:t xml:space="preserve">) and </w:t>
      </w:r>
      <w:r w:rsidRPr="00CA33AD">
        <w:t>Robert</w:t>
      </w:r>
      <w:r>
        <w:t xml:space="preserve"> </w:t>
      </w:r>
      <w:r w:rsidRPr="00CA33AD">
        <w:t xml:space="preserve">Dell, </w:t>
      </w:r>
      <w:r w:rsidRPr="00CA33AD">
        <w:rPr>
          <w:i/>
        </w:rPr>
        <w:t xml:space="preserve">The Geneva Racket: 1920-1939, </w:t>
      </w:r>
      <w:r>
        <w:t>(</w:t>
      </w:r>
      <w:r w:rsidRPr="00CA33AD">
        <w:t>London: Robert Hale Ltd, 1941</w:t>
      </w:r>
      <w:r>
        <w:t xml:space="preserve">) are good examples.  These critiques are generally very different from those that followed immediately after the conclusion of the peace.    </w:t>
      </w:r>
    </w:p>
  </w:endnote>
  <w:endnote w:id="4">
    <w:p w14:paraId="449B34B6" w14:textId="77777777" w:rsidR="00A97A17" w:rsidRPr="00974C6B" w:rsidRDefault="00A97A17" w:rsidP="00A97A17">
      <w:pPr>
        <w:pStyle w:val="EndnoteText"/>
      </w:pPr>
      <w:r>
        <w:rPr>
          <w:rStyle w:val="EndnoteReference"/>
        </w:rPr>
        <w:endnoteRef/>
      </w:r>
      <w:r>
        <w:t xml:space="preserve"> H. Duncan Hall, “The International Frontier” </w:t>
      </w:r>
      <w:r w:rsidRPr="00974C6B">
        <w:rPr>
          <w:i/>
        </w:rPr>
        <w:t>The American Journal of International Law</w:t>
      </w:r>
      <w:r w:rsidRPr="00974C6B">
        <w:t xml:space="preserve"> 42, No. 1 (Jan., 1948), pp. 42-65</w:t>
      </w:r>
      <w:r>
        <w:t xml:space="preserve">.  The article is similar to the first chapter of his </w:t>
      </w:r>
      <w:r>
        <w:rPr>
          <w:i/>
        </w:rPr>
        <w:t xml:space="preserve">Mandates, Dependencies, and Trusteeship, </w:t>
      </w:r>
      <w:r>
        <w:t>published later that year; that book is the full elaboration of his thinking, though it is limited to mandates and trusteeships, their precedents, aims, law, and politics.</w:t>
      </w:r>
    </w:p>
  </w:endnote>
  <w:endnote w:id="5">
    <w:p w14:paraId="11420B3A" w14:textId="77777777" w:rsidR="00A97A17" w:rsidRDefault="00A97A17" w:rsidP="00A97A17">
      <w:pPr>
        <w:pStyle w:val="EndnoteText"/>
      </w:pPr>
      <w:r>
        <w:rPr>
          <w:rStyle w:val="EndnoteReference"/>
        </w:rPr>
        <w:endnoteRef/>
      </w:r>
      <w:r>
        <w:t xml:space="preserve"> Hall, “International Frontier”, 54 gives this list: “It [the international frontier] is found mainly in certain great political frontier zones which historically have produced a series of related phenomena, such as spheres of interest tacitly or openly recognized by other powers; international territorial regimes of various kinds (including condominiums, mandates, and trusteeship areas); areas brought under national sovereignty but subjected by treated to and open-door regime…; demilitarized areas; neutralized zones; buffer states; minority regimes; capitulations; leased areas; international settlements, etc.”  There is another list, with yet more elements, on 48.</w:t>
      </w:r>
    </w:p>
  </w:endnote>
  <w:endnote w:id="6">
    <w:p w14:paraId="2DB57322" w14:textId="77777777" w:rsidR="00A97A17" w:rsidRDefault="00A97A17" w:rsidP="00A97A17">
      <w:pPr>
        <w:pStyle w:val="EndnoteText"/>
      </w:pPr>
      <w:r>
        <w:rPr>
          <w:rStyle w:val="EndnoteReference"/>
        </w:rPr>
        <w:endnoteRef/>
      </w:r>
      <w:r>
        <w:t xml:space="preserve"> Hall, “International Frontier” 46: “The </w:t>
      </w:r>
      <w:r w:rsidRPr="00DB0D39">
        <w:t>characteristic of such no man’s land is the absence or breakdown of sovereignty.  It is an area of low political pressure into which forces of the strong, well- organized states tend to expand and where their spheres of influence may overlap and clash.  To it belong weak ungrouped and unprotected states which temporarily, through civil war or other factors, have lost their power and cohesion, and thus lie open to pressures and invading forces.”</w:t>
      </w:r>
    </w:p>
  </w:endnote>
  <w:endnote w:id="7">
    <w:p w14:paraId="250EA8A2" w14:textId="77777777" w:rsidR="00A97A17" w:rsidRDefault="00A97A17" w:rsidP="00A97A17">
      <w:pPr>
        <w:pStyle w:val="EndnoteText"/>
      </w:pPr>
      <w:r>
        <w:rPr>
          <w:rStyle w:val="EndnoteReference"/>
        </w:rPr>
        <w:endnoteRef/>
      </w:r>
      <w:r>
        <w:t xml:space="preserve"> This is the point of </w:t>
      </w:r>
      <w:r w:rsidRPr="00D31F91">
        <w:t>Sarah</w:t>
      </w:r>
      <w:r>
        <w:t xml:space="preserve"> </w:t>
      </w:r>
      <w:r w:rsidRPr="00D31F91">
        <w:t>Wambaugh</w:t>
      </w:r>
      <w:r>
        <w:t xml:space="preserve">, “New Tools for Peaceful Settlement”, </w:t>
      </w:r>
      <w:r w:rsidRPr="00D31F91">
        <w:rPr>
          <w:i/>
        </w:rPr>
        <w:t xml:space="preserve">The Annals of the American Academy of Political and Social Science, </w:t>
      </w:r>
      <w:r w:rsidRPr="00D31F91">
        <w:t>Vol. 240, Our Muddled World (Jul., 1945)</w:t>
      </w:r>
      <w:r>
        <w:t>, 1, “</w:t>
      </w:r>
      <w:r w:rsidRPr="005E219B">
        <w:t>In fixing the provisions of the peace the United Nations</w:t>
      </w:r>
      <w:r>
        <w:t>…</w:t>
      </w:r>
      <w:r w:rsidRPr="005E219B">
        <w:t>will find themselves heir to rich resources opened to them by the experience in the art of international co-operation gained by the League in the course of those</w:t>
      </w:r>
      <w:r>
        <w:t xml:space="preserve"> years.”</w:t>
      </w:r>
    </w:p>
  </w:endnote>
  <w:endnote w:id="8">
    <w:p w14:paraId="3E681B0E" w14:textId="77777777" w:rsidR="00A97A17" w:rsidRDefault="00A97A17" w:rsidP="00A97A17">
      <w:pPr>
        <w:pStyle w:val="EndnoteText"/>
      </w:pPr>
      <w:r>
        <w:rPr>
          <w:rStyle w:val="EndnoteReference"/>
        </w:rPr>
        <w:endnoteRef/>
      </w:r>
      <w:r>
        <w:t xml:space="preserve">The one book I found is Michael T. Florinsky, </w:t>
      </w:r>
      <w:r>
        <w:rPr>
          <w:i/>
        </w:rPr>
        <w:t xml:space="preserve">The Saar Struggle, </w:t>
      </w:r>
      <w:r>
        <w:t xml:space="preserve">(New York: The Macmillan Co, 1934), written just before the plebiscite. There are also three contemporaneous articles on the Saar: </w:t>
      </w:r>
      <w:r w:rsidRPr="00A4635A">
        <w:t xml:space="preserve">Richard von Kuhlmann, </w:t>
      </w:r>
      <w:r>
        <w:t>“</w:t>
      </w:r>
      <w:r w:rsidRPr="00A4635A">
        <w:t>The Future of the Saar,</w:t>
      </w:r>
      <w:r>
        <w:t>”</w:t>
      </w:r>
      <w:r w:rsidRPr="00A4635A">
        <w:t xml:space="preserve"> 12 </w:t>
      </w:r>
      <w:r w:rsidRPr="00A4635A">
        <w:rPr>
          <w:i/>
        </w:rPr>
        <w:t>Foreign Aff</w:t>
      </w:r>
      <w:r>
        <w:rPr>
          <w:i/>
        </w:rPr>
        <w:t>airs</w:t>
      </w:r>
      <w:r w:rsidRPr="00A4635A">
        <w:t xml:space="preserve"> </w:t>
      </w:r>
      <w:r>
        <w:t xml:space="preserve">(1934) , Kuhlmann was a German diplomat and Secretary of State 1918-19.  The article is a good example of agit-prop, but he is careful with the facts of the law and history and knows that he is writing for an influential audience in </w:t>
      </w:r>
      <w:r>
        <w:rPr>
          <w:i/>
        </w:rPr>
        <w:t xml:space="preserve">Foreign Affairs.  </w:t>
      </w:r>
      <w:r>
        <w:t xml:space="preserve">While the article is about the Saar, his real focus is German-French relations, and wants his readers to see the Saar as one of the problems that keep them from being more settled.  </w:t>
      </w:r>
      <w:r w:rsidRPr="00A4635A">
        <w:t xml:space="preserve">Sarah Wambaugh, </w:t>
      </w:r>
      <w:r>
        <w:t>“</w:t>
      </w:r>
      <w:r w:rsidRPr="00A4635A">
        <w:t>International Administration of the SAAR Territory: 1920-1935,</w:t>
      </w:r>
      <w:r>
        <w:t>”</w:t>
      </w:r>
      <w:r w:rsidRPr="00A4635A">
        <w:t xml:space="preserve"> 30 Iowa L</w:t>
      </w:r>
      <w:r>
        <w:t>aw</w:t>
      </w:r>
      <w:r w:rsidRPr="00A4635A">
        <w:t xml:space="preserve"> Rev</w:t>
      </w:r>
      <w:r>
        <w:t>iew</w:t>
      </w:r>
      <w:r w:rsidRPr="00A4635A">
        <w:t xml:space="preserve"> 539(1945)</w:t>
      </w:r>
      <w:r>
        <w:t xml:space="preserve">.  </w:t>
      </w:r>
      <w:r>
        <w:rPr>
          <w:i/>
        </w:rPr>
        <w:t xml:space="preserve">  </w:t>
      </w:r>
      <w:r>
        <w:t xml:space="preserve">Wambaugh was an American political scientist who had worked in the Secretariat of the LN, had been involved with the Saar and was an expert in plebiscites.  This article was written at the end of WWII, and so it is more about her ideas of international administration to come, but she still used the details of administration in the Saar to justify that.  William H. Dawson, </w:t>
      </w:r>
      <w:r>
        <w:rPr>
          <w:i/>
        </w:rPr>
        <w:t xml:space="preserve">Germany Under the Treaty </w:t>
      </w:r>
      <w:r>
        <w:t xml:space="preserve">(London: G. Allen and Unwin Ltd., 1933), was one of those Brits who might as well have been paid staff at the German Propaganda Ministry, but there is plenty of useful material there and he doesn’t bother to hide his biases.  He was on the staff of the UK negotiating team in Paris, 1919 for the Versallies Treaties, and so speaks first-hand of the discussions.  There is a chapter, 300-327 on the Saar.  There is also a brief but useful overview of the interwar years of the Saar in “The Present Status of the Saar”,  </w:t>
      </w:r>
      <w:r>
        <w:rPr>
          <w:i/>
        </w:rPr>
        <w:t xml:space="preserve">Documents and State Papers </w:t>
      </w:r>
      <w:r>
        <w:t>1</w:t>
      </w:r>
      <w:r>
        <w:rPr>
          <w:i/>
        </w:rPr>
        <w:t>,</w:t>
      </w:r>
      <w:r>
        <w:t xml:space="preserve"> (1948), 435.   </w:t>
      </w:r>
    </w:p>
  </w:endnote>
  <w:endnote w:id="9">
    <w:p w14:paraId="3AE2B783" w14:textId="77777777" w:rsidR="00A97A17" w:rsidRDefault="00A97A17" w:rsidP="00A97A17">
      <w:pPr>
        <w:pStyle w:val="EndnoteText"/>
      </w:pPr>
      <w:r>
        <w:rPr>
          <w:rStyle w:val="EndnoteReference"/>
        </w:rPr>
        <w:endnoteRef/>
      </w:r>
      <w:r>
        <w:t xml:space="preserve"> Kuhlmann, “Future”, 430 says that a 1910 census showed 342 French speakers out of a population of about 800,000.</w:t>
      </w:r>
    </w:p>
  </w:endnote>
  <w:endnote w:id="10">
    <w:p w14:paraId="26A6E4BF" w14:textId="77777777" w:rsidR="00A97A17" w:rsidRDefault="00A97A17" w:rsidP="00A97A17">
      <w:pPr>
        <w:pStyle w:val="EndnoteText"/>
      </w:pPr>
      <w:r>
        <w:rPr>
          <w:rStyle w:val="EndnoteReference"/>
        </w:rPr>
        <w:endnoteRef/>
      </w:r>
      <w:r>
        <w:t xml:space="preserve"> Wambaugh, “Administration” 539-541 is the overview of the structure.</w:t>
      </w:r>
    </w:p>
  </w:endnote>
  <w:endnote w:id="11">
    <w:p w14:paraId="6BA24A27" w14:textId="77777777" w:rsidR="00A97A17" w:rsidRDefault="00A97A17" w:rsidP="00A97A17">
      <w:pPr>
        <w:pStyle w:val="EndnoteText"/>
      </w:pPr>
      <w:r>
        <w:rPr>
          <w:rStyle w:val="EndnoteReference"/>
        </w:rPr>
        <w:endnoteRef/>
      </w:r>
      <w:r>
        <w:t xml:space="preserve"> Wambaugh, “Administration”, 541.</w:t>
      </w:r>
    </w:p>
  </w:endnote>
  <w:endnote w:id="12">
    <w:p w14:paraId="4C03A10B" w14:textId="77777777" w:rsidR="00A97A17" w:rsidRDefault="00A97A17" w:rsidP="00A97A17">
      <w:pPr>
        <w:pStyle w:val="EndnoteText"/>
      </w:pPr>
      <w:r>
        <w:rPr>
          <w:rStyle w:val="EndnoteReference"/>
        </w:rPr>
        <w:endnoteRef/>
      </w:r>
      <w:r>
        <w:t xml:space="preserve"> Wambaugh, “Administration”, 542. </w:t>
      </w:r>
    </w:p>
  </w:endnote>
  <w:endnote w:id="13">
    <w:p w14:paraId="42460BF9" w14:textId="77777777" w:rsidR="00A97A17" w:rsidRDefault="00A97A17" w:rsidP="00A97A17">
      <w:pPr>
        <w:pStyle w:val="EndnoteText"/>
      </w:pPr>
      <w:r>
        <w:rPr>
          <w:rStyle w:val="EndnoteReference"/>
        </w:rPr>
        <w:endnoteRef/>
      </w:r>
      <w:r>
        <w:t xml:space="preserve"> Wambaugh, “Administration”, 541.</w:t>
      </w:r>
    </w:p>
  </w:endnote>
  <w:endnote w:id="14">
    <w:p w14:paraId="1446154B" w14:textId="77777777" w:rsidR="00A97A17" w:rsidRDefault="00A97A17" w:rsidP="00A97A17">
      <w:pPr>
        <w:pStyle w:val="EndnoteText"/>
      </w:pPr>
      <w:r>
        <w:rPr>
          <w:rStyle w:val="EndnoteReference"/>
        </w:rPr>
        <w:endnoteRef/>
      </w:r>
      <w:r>
        <w:t xml:space="preserve"> Wambaugh, “Administration”, 542.  She makes the point more forcefully in </w:t>
      </w:r>
      <w:r w:rsidRPr="00D31F91">
        <w:t>Wambaugh</w:t>
      </w:r>
      <w:r>
        <w:t xml:space="preserve">, “New Tools”, 4, where she is clear that any new areas under international administration should be held that way permanently, without any chance of a plebiscite for changing the status.  Dawson, </w:t>
      </w:r>
      <w:r>
        <w:rPr>
          <w:i/>
        </w:rPr>
        <w:t xml:space="preserve">Germany Under, </w:t>
      </w:r>
      <w:r>
        <w:t xml:space="preserve">321, says that the plebiscite was always on the minds of the population in anticipation of the change.   </w:t>
      </w:r>
      <w:r w:rsidRPr="00B122A8">
        <w:t>Florinsky agrees, but felt that the vote would at least end the uncertainty.</w:t>
      </w:r>
      <w:r>
        <w:t xml:space="preserve"> “Reunion with Germany, with all its tragic consequences, which I have no desire to minimize, has nevertheless one important virtue, that of finality.” 179.  </w:t>
      </w:r>
      <w:r w:rsidRPr="00C91A82">
        <w:t xml:space="preserve">J. A. Van Hamel, </w:t>
      </w:r>
      <w:r>
        <w:t>“</w:t>
      </w:r>
      <w:r w:rsidRPr="00C91A82">
        <w:t>Danzig and the Polish Problem ,</w:t>
      </w:r>
      <w:r>
        <w:t>”</w:t>
      </w:r>
      <w:r w:rsidRPr="00C91A82">
        <w:t xml:space="preserve">  </w:t>
      </w:r>
      <w:r w:rsidRPr="00C61F72">
        <w:rPr>
          <w:i/>
        </w:rPr>
        <w:t>International Conciliation</w:t>
      </w:r>
      <w:r>
        <w:rPr>
          <w:i/>
        </w:rPr>
        <w:t xml:space="preserve"> </w:t>
      </w:r>
      <w:r>
        <w:t>15,</w:t>
      </w:r>
      <w:r w:rsidRPr="00C91A82">
        <w:t xml:space="preserve">  (1933)</w:t>
      </w:r>
      <w:r>
        <w:t>, 153, takes the opposite view: “</w:t>
      </w:r>
      <w:r w:rsidRPr="00C61F72">
        <w:t>In the Saar Basin, the international system has had the advantage of being of a temporary nature only.</w:t>
      </w:r>
      <w:r>
        <w:t xml:space="preserve">”  Hamel was the </w:t>
      </w:r>
      <w:r w:rsidRPr="00C61F72">
        <w:t>High Commissioner of the League of Nations in the Free City of Danzig, 1925-1929</w:t>
      </w:r>
      <w:r>
        <w:t>, so he has reason to know what he is talking about.  He probably means that knowing that peaceful change will come lessens the pressure to agitate, though there was still plenty of that.  This is probably just a measure of how much more conflict there was in Danzig.</w:t>
      </w:r>
    </w:p>
  </w:endnote>
  <w:endnote w:id="15">
    <w:p w14:paraId="5FAB9CCF" w14:textId="77777777" w:rsidR="00A97A17" w:rsidRDefault="00A97A17" w:rsidP="00A97A17">
      <w:pPr>
        <w:pStyle w:val="EndnoteText"/>
      </w:pPr>
      <w:r>
        <w:rPr>
          <w:rStyle w:val="EndnoteReference"/>
        </w:rPr>
        <w:endnoteRef/>
      </w:r>
      <w:r>
        <w:t xml:space="preserve"> Florinsky, </w:t>
      </w:r>
      <w:r w:rsidRPr="0025692B">
        <w:rPr>
          <w:i/>
        </w:rPr>
        <w:t xml:space="preserve">Saar Struggle, </w:t>
      </w:r>
      <w:r w:rsidRPr="0025692B">
        <w:t>177</w:t>
      </w:r>
      <w:r>
        <w:t>.</w:t>
      </w:r>
    </w:p>
  </w:endnote>
  <w:endnote w:id="16">
    <w:p w14:paraId="55ABA4BD" w14:textId="77777777" w:rsidR="00A97A17" w:rsidRDefault="00A97A17" w:rsidP="00A97A17">
      <w:pPr>
        <w:pStyle w:val="EndnoteText"/>
      </w:pPr>
      <w:r>
        <w:rPr>
          <w:rStyle w:val="EndnoteReference"/>
        </w:rPr>
        <w:endnoteRef/>
      </w:r>
      <w:r>
        <w:t xml:space="preserve"> But not sovereignty.  Germany held that, and only ceded the “exercise of sovereignty.”  Josef L. Kunz, “The Free Territory of Trieste,” </w:t>
      </w:r>
      <w:r w:rsidRPr="00717AA7">
        <w:rPr>
          <w:i/>
        </w:rPr>
        <w:t xml:space="preserve">The Western Political Quarterly, </w:t>
      </w:r>
      <w:r w:rsidRPr="00717AA7">
        <w:t xml:space="preserve">1, No. 2 (Jun., 1948), </w:t>
      </w:r>
      <w:r>
        <w:t>106, fn 33.</w:t>
      </w:r>
    </w:p>
  </w:endnote>
  <w:endnote w:id="17">
    <w:p w14:paraId="34DBC3F2" w14:textId="77777777" w:rsidR="00A97A17" w:rsidRDefault="00A97A17" w:rsidP="00A97A17">
      <w:pPr>
        <w:pStyle w:val="EndnoteText"/>
      </w:pPr>
      <w:r>
        <w:rPr>
          <w:rStyle w:val="EndnoteReference"/>
        </w:rPr>
        <w:endnoteRef/>
      </w:r>
      <w:r>
        <w:t xml:space="preserve"> While the various forms of limited sovereignty bleed into each other, all of the areas discussed in this paper had LN administrators on the ground at all times, a way of differentiating them from mandates, where oversight was only done in Geneva and the occasional study committee that the Permanent Mandates Commission might send out.  </w:t>
      </w:r>
    </w:p>
  </w:endnote>
  <w:endnote w:id="18">
    <w:p w14:paraId="6DF8FA38" w14:textId="77777777" w:rsidR="00A97A17" w:rsidRDefault="00A97A17" w:rsidP="00A97A17">
      <w:pPr>
        <w:pStyle w:val="EndnoteText"/>
      </w:pPr>
      <w:r>
        <w:rPr>
          <w:rStyle w:val="EndnoteReference"/>
        </w:rPr>
        <w:endnoteRef/>
      </w:r>
      <w:r>
        <w:t xml:space="preserve"> Wambaugh, “Administration”, 542 notes that economic conditions were better in the Saar than in either Germany or France, and that the administration was skilled, but vilified none the less.  </w:t>
      </w:r>
    </w:p>
  </w:endnote>
  <w:endnote w:id="19">
    <w:p w14:paraId="03A43859" w14:textId="77777777" w:rsidR="00A97A17" w:rsidRDefault="00A97A17" w:rsidP="00A97A17">
      <w:pPr>
        <w:pStyle w:val="EndnoteText"/>
      </w:pPr>
      <w:r>
        <w:rPr>
          <w:rStyle w:val="EndnoteReference"/>
        </w:rPr>
        <w:endnoteRef/>
      </w:r>
      <w:r>
        <w:t xml:space="preserve"> Most of the material on Memel comes from a number of contemporary sources. Dawson, </w:t>
      </w:r>
      <w:r>
        <w:rPr>
          <w:i/>
        </w:rPr>
        <w:t>Germany Under,</w:t>
      </w:r>
      <w:r>
        <w:t xml:space="preserve"> has a chapter, 243-271.  </w:t>
      </w:r>
      <w:r w:rsidRPr="002B7A93">
        <w:t xml:space="preserve">Edgar Packard Dean, </w:t>
      </w:r>
      <w:r>
        <w:t>“</w:t>
      </w:r>
      <w:r w:rsidRPr="002B7A93">
        <w:t>Again the Memel Question,</w:t>
      </w:r>
      <w:r>
        <w:t>”</w:t>
      </w:r>
      <w:r w:rsidRPr="002B7A93">
        <w:t xml:space="preserve">  </w:t>
      </w:r>
      <w:r w:rsidRPr="00EE23A5">
        <w:rPr>
          <w:i/>
        </w:rPr>
        <w:t>Foreign Affairs</w:t>
      </w:r>
      <w:r>
        <w:t xml:space="preserve"> 13,</w:t>
      </w:r>
      <w:r w:rsidRPr="002B7A93">
        <w:t xml:space="preserve"> (1935)</w:t>
      </w:r>
      <w:r>
        <w:t xml:space="preserve"> is short and evenhanded.  </w:t>
      </w:r>
      <w:r w:rsidRPr="00070CE9">
        <w:t>Thorsten Kalijarvi,</w:t>
      </w:r>
      <w:r w:rsidRPr="00070CE9">
        <w:rPr>
          <w:i/>
        </w:rPr>
        <w:t xml:space="preserve"> </w:t>
      </w:r>
      <w:r w:rsidRPr="00070CE9">
        <w:t>“The Problem of Memel</w:t>
      </w:r>
      <w:r w:rsidRPr="00070CE9">
        <w:rPr>
          <w:i/>
        </w:rPr>
        <w:t xml:space="preserve">,”  American Journal of International Law </w:t>
      </w:r>
      <w:r>
        <w:t xml:space="preserve">30, </w:t>
      </w:r>
      <w:r w:rsidRPr="00070CE9">
        <w:rPr>
          <w:i/>
        </w:rPr>
        <w:t>(1936)</w:t>
      </w:r>
      <w:r>
        <w:rPr>
          <w:i/>
        </w:rPr>
        <w:t xml:space="preserve"> </w:t>
      </w:r>
      <w:r w:rsidRPr="00070CE9">
        <w:t>is an analysis of the statute and other agreements</w:t>
      </w:r>
      <w:r>
        <w:t xml:space="preserve"> regarding the area, though he comments on the political effects of the law and the possibility of settlement.  </w:t>
      </w:r>
      <w:r w:rsidRPr="004D2B75">
        <w:t>Ian</w:t>
      </w:r>
      <w:r>
        <w:t xml:space="preserve"> </w:t>
      </w:r>
      <w:r w:rsidRPr="004D2B75">
        <w:t xml:space="preserve">Morrow, </w:t>
      </w:r>
      <w:r w:rsidRPr="004D2B75">
        <w:rPr>
          <w:i/>
        </w:rPr>
        <w:t>The Peace Settlement in the German</w:t>
      </w:r>
      <w:r>
        <w:rPr>
          <w:i/>
        </w:rPr>
        <w:t>-</w:t>
      </w:r>
      <w:r w:rsidRPr="004D2B75">
        <w:rPr>
          <w:i/>
        </w:rPr>
        <w:t>Polish Borderlands: A Study of Conditions To-day in the pre-War Prussian Provinces of East and West Prussia</w:t>
      </w:r>
      <w:r>
        <w:rPr>
          <w:i/>
        </w:rPr>
        <w:t xml:space="preserve"> </w:t>
      </w:r>
      <w:r w:rsidRPr="004D2B75">
        <w:t xml:space="preserve"> </w:t>
      </w:r>
      <w:r>
        <w:t>(</w:t>
      </w:r>
      <w:r w:rsidRPr="004D2B75">
        <w:t>London: Oxford University Press, 1936</w:t>
      </w:r>
      <w:r>
        <w:t>), has a chapter on Memel.  This is a study written for the Royal Institute of International Affairs.  In part because he is the last of the writers, he is most attuned to the coming war and writes in that light.</w:t>
      </w:r>
    </w:p>
  </w:endnote>
  <w:endnote w:id="20">
    <w:p w14:paraId="4E126780" w14:textId="77777777" w:rsidR="00A97A17" w:rsidRPr="00897F17" w:rsidRDefault="00A97A17" w:rsidP="00A97A17">
      <w:pPr>
        <w:pStyle w:val="EndnoteText"/>
      </w:pPr>
      <w:r>
        <w:rPr>
          <w:rStyle w:val="EndnoteReference"/>
        </w:rPr>
        <w:endnoteRef/>
      </w:r>
      <w:r>
        <w:t xml:space="preserve"> This is unclear.  Dean, “Memel Question,” 695, lists 25,000 Germans and 125,000 Lithuanians.  Dawson, </w:t>
      </w:r>
      <w:r>
        <w:rPr>
          <w:i/>
        </w:rPr>
        <w:t xml:space="preserve">Germany Under, </w:t>
      </w:r>
      <w:r>
        <w:t xml:space="preserve">244, gives a very different view, citing the German 1910 census to arrive at 51% German, 48% Lithuanian, but even that he thinks underestimates the German population, claiming that “The Prussian Lithuanians long ago assimilated the German spirit and mode of life.”  Kalijarvi, “The Problem”, 204 accepts that the figures show a wide range, fn 2, but seems, on 205, to infer that there were more Germans.  Certainly, election results for the provincial Diet show strong support for union with Germany.  Dawson, </w:t>
      </w:r>
      <w:r>
        <w:rPr>
          <w:i/>
        </w:rPr>
        <w:t xml:space="preserve">Germany Under, </w:t>
      </w:r>
      <w:r>
        <w:t xml:space="preserve">266-67 and Kalijarvi, “The Problem of”, 211 for various election results, which are consistent.  That said, there are good reasons for people to cross ethnic lines-election results don’t have to match ethnic numbers.    </w:t>
      </w:r>
    </w:p>
  </w:endnote>
  <w:endnote w:id="21">
    <w:p w14:paraId="33198A0B" w14:textId="77777777" w:rsidR="00A97A17" w:rsidRPr="00244A24" w:rsidRDefault="00A97A17" w:rsidP="00A97A17">
      <w:pPr>
        <w:pStyle w:val="EndnoteText"/>
      </w:pPr>
      <w:r>
        <w:rPr>
          <w:rStyle w:val="EndnoteReference"/>
        </w:rPr>
        <w:endnoteRef/>
      </w:r>
      <w:r>
        <w:t xml:space="preserve"> Dawson. </w:t>
      </w:r>
      <w:r>
        <w:rPr>
          <w:i/>
        </w:rPr>
        <w:t xml:space="preserve">Germany Under, </w:t>
      </w:r>
      <w:r>
        <w:t xml:space="preserve">260, considers Vilna to Poland and Memel to Lithuania a straightforward trade.  </w:t>
      </w:r>
    </w:p>
  </w:endnote>
  <w:endnote w:id="22">
    <w:p w14:paraId="75D19B17" w14:textId="77777777" w:rsidR="00A97A17" w:rsidRDefault="00A97A17" w:rsidP="00A97A17">
      <w:pPr>
        <w:pStyle w:val="EndnoteText"/>
      </w:pPr>
      <w:r>
        <w:rPr>
          <w:rStyle w:val="EndnoteReference"/>
        </w:rPr>
        <w:endnoteRef/>
      </w:r>
      <w:r>
        <w:t xml:space="preserve"> Dean, “Memel Question,” 696.</w:t>
      </w:r>
    </w:p>
  </w:endnote>
  <w:endnote w:id="23">
    <w:p w14:paraId="0537AC0F" w14:textId="77777777" w:rsidR="00A97A17" w:rsidRPr="009F326D" w:rsidRDefault="00A97A17" w:rsidP="00A97A17">
      <w:pPr>
        <w:pStyle w:val="EndnoteText"/>
      </w:pPr>
      <w:r>
        <w:rPr>
          <w:rStyle w:val="EndnoteReference"/>
        </w:rPr>
        <w:endnoteRef/>
      </w:r>
      <w:r>
        <w:t xml:space="preserve"> Dawson, </w:t>
      </w:r>
      <w:r>
        <w:rPr>
          <w:i/>
        </w:rPr>
        <w:t xml:space="preserve">Germany Under, </w:t>
      </w:r>
      <w:r>
        <w:t>257 for the first 2 quotes, Dean, “Memel Question” 696 for the last.</w:t>
      </w:r>
    </w:p>
  </w:endnote>
  <w:endnote w:id="24">
    <w:p w14:paraId="43D061BD" w14:textId="77777777" w:rsidR="00A97A17" w:rsidRDefault="00A97A17" w:rsidP="00A97A17">
      <w:pPr>
        <w:pStyle w:val="EndnoteText"/>
      </w:pPr>
      <w:r>
        <w:rPr>
          <w:rStyle w:val="EndnoteReference"/>
        </w:rPr>
        <w:endnoteRef/>
      </w:r>
      <w:r>
        <w:t xml:space="preserve"> Dean, “Memel Question”, 696 has a one-paragraph condensation of the Statute; Kalijarvi, “The Problem” 206-07 is his analysis of what it covers; Dawson,</w:t>
      </w:r>
      <w:r>
        <w:rPr>
          <w:i/>
        </w:rPr>
        <w:t xml:space="preserve"> Germany Under, </w:t>
      </w:r>
      <w:r>
        <w:t xml:space="preserve">262-264 is his take on the Statute.    </w:t>
      </w:r>
    </w:p>
  </w:endnote>
  <w:endnote w:id="25">
    <w:p w14:paraId="2C426288" w14:textId="77777777" w:rsidR="00A97A17" w:rsidRDefault="00A97A17" w:rsidP="00A97A17">
      <w:pPr>
        <w:pStyle w:val="EndnoteText"/>
      </w:pPr>
      <w:r>
        <w:rPr>
          <w:rStyle w:val="EndnoteReference"/>
        </w:rPr>
        <w:endnoteRef/>
      </w:r>
      <w:r>
        <w:t xml:space="preserve"> Kalijarvi, “The Problem” 208 for the quote, 208-211 for a partial list of issues before the Council of the LN and PCIJ.</w:t>
      </w:r>
    </w:p>
  </w:endnote>
  <w:endnote w:id="26">
    <w:p w14:paraId="09CAD134" w14:textId="77777777" w:rsidR="00A97A17" w:rsidRPr="008D7063" w:rsidRDefault="00A97A17" w:rsidP="00A97A17">
      <w:pPr>
        <w:pStyle w:val="EndnoteText"/>
      </w:pPr>
      <w:r>
        <w:rPr>
          <w:rStyle w:val="EndnoteReference"/>
        </w:rPr>
        <w:endnoteRef/>
      </w:r>
      <w:r>
        <w:t xml:space="preserve"> Dawson, </w:t>
      </w:r>
      <w:r>
        <w:rPr>
          <w:i/>
        </w:rPr>
        <w:t xml:space="preserve">Germany Under, </w:t>
      </w:r>
      <w:r>
        <w:t>264.</w:t>
      </w:r>
    </w:p>
  </w:endnote>
  <w:endnote w:id="27">
    <w:p w14:paraId="44C86A8B" w14:textId="77777777" w:rsidR="00A97A17" w:rsidRDefault="00A97A17" w:rsidP="00A97A17">
      <w:pPr>
        <w:pStyle w:val="EndnoteText"/>
      </w:pPr>
      <w:r>
        <w:rPr>
          <w:rStyle w:val="EndnoteReference"/>
        </w:rPr>
        <w:endnoteRef/>
      </w:r>
      <w:r>
        <w:t xml:space="preserve"> Kalijarvi, “The Problem” 214-15.</w:t>
      </w:r>
    </w:p>
  </w:endnote>
  <w:endnote w:id="28">
    <w:p w14:paraId="57AC283E" w14:textId="77777777" w:rsidR="00A97A17" w:rsidRDefault="00A97A17" w:rsidP="00A97A17">
      <w:pPr>
        <w:pStyle w:val="EndnoteText"/>
      </w:pPr>
      <w:r>
        <w:rPr>
          <w:rStyle w:val="EndnoteReference"/>
        </w:rPr>
        <w:endnoteRef/>
      </w:r>
      <w:r>
        <w:t xml:space="preserve"> Kalijarvi, “The Problem” 215: “</w:t>
      </w:r>
      <w:r w:rsidRPr="000B18CD">
        <w:t>Lithuania alone is bound to  this observance</w:t>
      </w:r>
      <w:r>
        <w:t xml:space="preserve"> [enforcing the terms of the statute]</w:t>
      </w:r>
      <w:r w:rsidRPr="000B18CD">
        <w:t xml:space="preserve">  by the terms of the convention; but if she does not choose to follow them, no one else is bound to see that she does. The so-called "Guarantor Powers" have only a moral obligation.</w:t>
      </w:r>
      <w:r>
        <w:t>”</w:t>
      </w:r>
    </w:p>
  </w:endnote>
  <w:endnote w:id="29">
    <w:p w14:paraId="0290B2E3" w14:textId="77777777" w:rsidR="00A97A17" w:rsidRPr="00DD7EF5" w:rsidRDefault="00A97A17" w:rsidP="00A97A17">
      <w:pPr>
        <w:pStyle w:val="EndnoteText"/>
      </w:pPr>
      <w:r>
        <w:rPr>
          <w:rStyle w:val="EndnoteReference"/>
        </w:rPr>
        <w:endnoteRef/>
      </w:r>
      <w:r>
        <w:t xml:space="preserve"> Morrow, </w:t>
      </w:r>
      <w:r>
        <w:rPr>
          <w:i/>
        </w:rPr>
        <w:t xml:space="preserve">Peace Settlement, </w:t>
      </w:r>
      <w:r>
        <w:t>455 and 456.  Given that elsewhere in the book he speaks of the Czech, Polish and German races all on the same page, he is using race where we would use nationality.</w:t>
      </w:r>
    </w:p>
  </w:endnote>
  <w:endnote w:id="30">
    <w:p w14:paraId="042B5236" w14:textId="77777777" w:rsidR="00A97A17" w:rsidRDefault="00A97A17" w:rsidP="00A97A17">
      <w:pPr>
        <w:pStyle w:val="EndnoteText"/>
      </w:pPr>
      <w:r>
        <w:rPr>
          <w:rStyle w:val="EndnoteReference"/>
        </w:rPr>
        <w:endnoteRef/>
      </w:r>
      <w:r>
        <w:t xml:space="preserve"> Dean, “Memel Question”, 697.  On 696 he has</w:t>
      </w:r>
      <w:r w:rsidRPr="00C54777">
        <w:t xml:space="preserve"> “More important than the precise terms of the Memel Statute is  the attitude  of those to whom it applies.”</w:t>
      </w:r>
    </w:p>
  </w:endnote>
  <w:endnote w:id="31">
    <w:p w14:paraId="0CFD8763" w14:textId="77777777" w:rsidR="00A97A17" w:rsidRDefault="00A97A17" w:rsidP="00A97A17">
      <w:pPr>
        <w:pStyle w:val="EndnoteText"/>
      </w:pPr>
      <w:r>
        <w:rPr>
          <w:rStyle w:val="EndnoteReference"/>
        </w:rPr>
        <w:endnoteRef/>
      </w:r>
      <w:r>
        <w:t xml:space="preserve"> Hall, “International Frontier” is clear that marking minorities for special treatment would increase prejudice, 57:</w:t>
      </w:r>
      <w:r w:rsidRPr="007439AA">
        <w:rPr>
          <w:sz w:val="28"/>
          <w:szCs w:val="28"/>
        </w:rPr>
        <w:t xml:space="preserve"> </w:t>
      </w:r>
      <w:r w:rsidRPr="007439AA">
        <w:t>“Several of them [schemes of mandates, trusteeship, collective responsibility for Ottoman Empire in the 19</w:t>
      </w:r>
      <w:r w:rsidRPr="007439AA">
        <w:rPr>
          <w:vertAlign w:val="superscript"/>
        </w:rPr>
        <w:t>th</w:t>
      </w:r>
      <w:r w:rsidRPr="007439AA">
        <w:t xml:space="preserve"> cen</w:t>
      </w:r>
      <w:r>
        <w:t>tury</w:t>
      </w:r>
      <w:r w:rsidRPr="007439AA">
        <w:t>] aimed at the protection of particular minorities like the Armenians-and in doing so marked them for destruction.”</w:t>
      </w:r>
      <w:r>
        <w:t xml:space="preserve">  There is nothing in the European experience that would contradict this. </w:t>
      </w:r>
    </w:p>
  </w:endnote>
  <w:endnote w:id="32">
    <w:p w14:paraId="753F9A0C" w14:textId="77777777" w:rsidR="00A97A17" w:rsidRPr="00593F2A" w:rsidRDefault="00A97A17" w:rsidP="00A97A17">
      <w:pPr>
        <w:pStyle w:val="EndnoteText"/>
      </w:pPr>
      <w:r>
        <w:rPr>
          <w:rStyle w:val="EndnoteReference"/>
        </w:rPr>
        <w:endnoteRef/>
      </w:r>
      <w:r>
        <w:t xml:space="preserve"> Morrow, </w:t>
      </w:r>
      <w:r>
        <w:rPr>
          <w:i/>
        </w:rPr>
        <w:t xml:space="preserve">Peace Settlement, </w:t>
      </w:r>
      <w:r>
        <w:t xml:space="preserve">444, agrees: </w:t>
      </w:r>
      <w:r w:rsidRPr="00593F2A">
        <w:t>“Another factor of general importance for an understanding of the Memel problem is the tendency increasingly shown throughout the past 10 years for that problem to develop into a German-Lithuanian rather than a Memel-Lithuanian issue.”</w:t>
      </w:r>
    </w:p>
  </w:endnote>
  <w:endnote w:id="33">
    <w:p w14:paraId="2405BF0B" w14:textId="77777777" w:rsidR="00A97A17" w:rsidRDefault="00A97A17" w:rsidP="00A97A17">
      <w:pPr>
        <w:pStyle w:val="EndnoteText"/>
      </w:pPr>
      <w:r>
        <w:rPr>
          <w:rStyle w:val="EndnoteReference"/>
        </w:rPr>
        <w:endnoteRef/>
      </w:r>
      <w:r>
        <w:t xml:space="preserve"> Danzig was the largest and most contentious of these anomalies, and so there is also the largest literature.  </w:t>
      </w:r>
      <w:r w:rsidRPr="00371267">
        <w:t>Birdsall,</w:t>
      </w:r>
      <w:r w:rsidRPr="00371267">
        <w:rPr>
          <w:i/>
        </w:rPr>
        <w:t xml:space="preserve"> Twenty Years</w:t>
      </w:r>
      <w:r>
        <w:rPr>
          <w:i/>
        </w:rPr>
        <w:t xml:space="preserve">, </w:t>
      </w:r>
      <w:r>
        <w:t xml:space="preserve">has a good section on the politicking in 1919 that brought about the Danzig compromises.  Dawson, </w:t>
      </w:r>
      <w:r w:rsidRPr="00887BE3">
        <w:t>Germany</w:t>
      </w:r>
      <w:r>
        <w:rPr>
          <w:i/>
        </w:rPr>
        <w:t xml:space="preserve"> Under, </w:t>
      </w:r>
      <w:r>
        <w:t xml:space="preserve">has a chapter titled “The Tragedy of Danzig”, 135-174, with some solid, if clearly biased, information.  </w:t>
      </w:r>
      <w:r w:rsidRPr="00CA33AD">
        <w:t xml:space="preserve">Dell, </w:t>
      </w:r>
      <w:r w:rsidRPr="00CA33AD">
        <w:rPr>
          <w:i/>
        </w:rPr>
        <w:t>The Geneva Racket</w:t>
      </w:r>
      <w:r>
        <w:rPr>
          <w:i/>
        </w:rPr>
        <w:t xml:space="preserve"> </w:t>
      </w:r>
      <w:r>
        <w:t xml:space="preserve">is by an English journalist who covered the LN beat and has material on Danzig.  Van Hamel, “Danzig”, is the most important of the commentators, as he was High Commissioner of the city for four years, and so knew the problems intimately.  </w:t>
      </w:r>
      <w:r w:rsidRPr="00CA33AD">
        <w:t xml:space="preserve">John B. Mason, </w:t>
      </w:r>
      <w:r>
        <w:t>“</w:t>
      </w:r>
      <w:r w:rsidRPr="00CA33AD">
        <w:t>Status of the Free City of Danzig under International Law</w:t>
      </w:r>
      <w:r>
        <w:t>”</w:t>
      </w:r>
      <w:r w:rsidRPr="00CA33AD">
        <w:t xml:space="preserve">, 5 </w:t>
      </w:r>
      <w:r w:rsidRPr="00CA33AD">
        <w:rPr>
          <w:i/>
        </w:rPr>
        <w:t>Rocky Mountain Law Review</w:t>
      </w:r>
      <w:r w:rsidRPr="00CA33AD">
        <w:t xml:space="preserve"> 85 (1933)</w:t>
      </w:r>
      <w:r>
        <w:t xml:space="preserve"> tries to understand the nature of the beast, and just what, legally, Danzig might have been.  Morrow, </w:t>
      </w:r>
      <w:r>
        <w:rPr>
          <w:i/>
        </w:rPr>
        <w:t xml:space="preserve">Peace Settlement </w:t>
      </w:r>
      <w:r>
        <w:t xml:space="preserve">places greater emphasis on the political and human aspects while </w:t>
      </w:r>
      <w:r w:rsidRPr="00646FC1">
        <w:t xml:space="preserve">Ian F. D. Morrow, </w:t>
      </w:r>
      <w:r>
        <w:t>“</w:t>
      </w:r>
      <w:r w:rsidRPr="00646FC1">
        <w:t>The International Status of the Free City of Danzig,</w:t>
      </w:r>
      <w:r>
        <w:t>”</w:t>
      </w:r>
      <w:r w:rsidRPr="00646FC1">
        <w:t xml:space="preserve"> 18 </w:t>
      </w:r>
      <w:r w:rsidRPr="009D6D12">
        <w:rPr>
          <w:i/>
        </w:rPr>
        <w:t>British Year Book of International Law</w:t>
      </w:r>
      <w:r w:rsidRPr="00646FC1">
        <w:t xml:space="preserve"> (1937)</w:t>
      </w:r>
      <w:r>
        <w:t xml:space="preserve"> covers the negotiations that led to the various agreements and an analysis of the legal documents.  </w:t>
      </w:r>
    </w:p>
  </w:endnote>
  <w:endnote w:id="34">
    <w:p w14:paraId="0B7EBF2C" w14:textId="77777777" w:rsidR="00A97A17" w:rsidRDefault="00A97A17" w:rsidP="00A97A17">
      <w:pPr>
        <w:pStyle w:val="EndnoteText"/>
      </w:pPr>
      <w:r>
        <w:rPr>
          <w:rStyle w:val="EndnoteReference"/>
        </w:rPr>
        <w:endnoteRef/>
      </w:r>
      <w:r>
        <w:t xml:space="preserve"> Mason, “Status of Danzig”, 85.</w:t>
      </w:r>
    </w:p>
  </w:endnote>
  <w:endnote w:id="35">
    <w:p w14:paraId="1878BAFA" w14:textId="77777777" w:rsidR="00A97A17" w:rsidRDefault="00A97A17" w:rsidP="00A97A17">
      <w:pPr>
        <w:pStyle w:val="EndnoteText"/>
      </w:pPr>
      <w:r>
        <w:rPr>
          <w:rStyle w:val="EndnoteReference"/>
        </w:rPr>
        <w:endnoteRef/>
      </w:r>
      <w:r>
        <w:t xml:space="preserve"> Mason, “Status of Danzig”, 87: “</w:t>
      </w:r>
      <w:r w:rsidRPr="00962AB1">
        <w:t>Danzig's international position is without duplicate anywhere at any time in</w:t>
      </w:r>
      <w:r>
        <w:t xml:space="preserve"> history.”</w:t>
      </w:r>
    </w:p>
  </w:endnote>
  <w:endnote w:id="36">
    <w:p w14:paraId="6AA9C0F0" w14:textId="77777777" w:rsidR="00A97A17" w:rsidRPr="00F87D69" w:rsidRDefault="00A97A17" w:rsidP="00A97A17">
      <w:pPr>
        <w:pStyle w:val="EndnoteText"/>
      </w:pPr>
      <w:r>
        <w:rPr>
          <w:rStyle w:val="EndnoteReference"/>
        </w:rPr>
        <w:endnoteRef/>
      </w:r>
      <w:r>
        <w:t xml:space="preserve"> Birdsall, </w:t>
      </w:r>
      <w:r>
        <w:rPr>
          <w:i/>
        </w:rPr>
        <w:t xml:space="preserve">20 years, </w:t>
      </w:r>
      <w:r>
        <w:t>178-88 covers all this and is reasonably concise. Morrow, “International Status”, 115-116 has less detail, but covers it.</w:t>
      </w:r>
    </w:p>
  </w:endnote>
  <w:endnote w:id="37">
    <w:p w14:paraId="0D5BB944" w14:textId="77777777" w:rsidR="00A97A17" w:rsidRDefault="00A97A17" w:rsidP="00A97A17">
      <w:pPr>
        <w:pStyle w:val="EndnoteText"/>
      </w:pPr>
      <w:r>
        <w:rPr>
          <w:rStyle w:val="EndnoteReference"/>
        </w:rPr>
        <w:endnoteRef/>
      </w:r>
      <w:r>
        <w:t xml:space="preserve"> Morrow, “International Status” 115.</w:t>
      </w:r>
    </w:p>
  </w:endnote>
  <w:endnote w:id="38">
    <w:p w14:paraId="12DF25C5" w14:textId="77777777" w:rsidR="00A97A17" w:rsidRPr="002B7B63" w:rsidRDefault="00A97A17" w:rsidP="00A97A17">
      <w:pPr>
        <w:pStyle w:val="EndnoteText"/>
      </w:pPr>
      <w:r>
        <w:rPr>
          <w:rStyle w:val="EndnoteReference"/>
        </w:rPr>
        <w:endnoteRef/>
      </w:r>
      <w:r>
        <w:t xml:space="preserve"> Dell, </w:t>
      </w:r>
      <w:r>
        <w:rPr>
          <w:i/>
        </w:rPr>
        <w:t xml:space="preserve">Geneva Racket, </w:t>
      </w:r>
      <w:r>
        <w:t xml:space="preserve">179 for the first quote, 180 for the others.  In 1945, a wide range of commentators thought that the redrawn lines pushing Poland to the west were done so as to give it unstable borders guaranteed to spur conflict.  The intent was that it would keep the new Polish state dependent on the USSR to defend it.  </w:t>
      </w:r>
    </w:p>
  </w:endnote>
  <w:endnote w:id="39">
    <w:p w14:paraId="15B8B5A9" w14:textId="77777777" w:rsidR="00A97A17" w:rsidRDefault="00A97A17" w:rsidP="00A97A17">
      <w:pPr>
        <w:pStyle w:val="EndnoteText"/>
      </w:pPr>
      <w:r>
        <w:rPr>
          <w:rStyle w:val="EndnoteReference"/>
        </w:rPr>
        <w:endnoteRef/>
      </w:r>
      <w:r>
        <w:t xml:space="preserve"> As everything, this is murky, Morrow, “International Status” 120-24 tries to sort that out.  This in particular is the sort of ambiguity that is bound to ensure conflict.  </w:t>
      </w:r>
    </w:p>
  </w:endnote>
  <w:endnote w:id="40">
    <w:p w14:paraId="6A1DC59F" w14:textId="77777777" w:rsidR="00A97A17" w:rsidRDefault="00A97A17" w:rsidP="00A97A17">
      <w:pPr>
        <w:pStyle w:val="EndnoteText"/>
      </w:pPr>
      <w:r>
        <w:rPr>
          <w:rStyle w:val="EndnoteReference"/>
        </w:rPr>
        <w:endnoteRef/>
      </w:r>
      <w:r>
        <w:t xml:space="preserve"> Morrow, “International Status” 126.</w:t>
      </w:r>
    </w:p>
  </w:endnote>
  <w:endnote w:id="41">
    <w:p w14:paraId="13334B91" w14:textId="77777777" w:rsidR="00A97A17" w:rsidRDefault="00A97A17" w:rsidP="00A97A17">
      <w:pPr>
        <w:pStyle w:val="EndnoteText"/>
      </w:pPr>
      <w:r>
        <w:rPr>
          <w:rStyle w:val="EndnoteReference"/>
        </w:rPr>
        <w:endnoteRef/>
      </w:r>
      <w:r>
        <w:t xml:space="preserve"> Mason, “Status of Danzig”, 88-92 is the overview of the other publicists.  As close to agreement as is possible is that many of them call it “semi-sovereign” but then are free to disagree on what that might mean.  Perhaps the most telling of the comparisons is to the “open sea”, 91.  Of course, because of the intense politicization of the issue, Polish publicists tend to agree with each other, as do the Germans, but the two groups reach about opposite conclusions.  92-99 is the discussion of the possibility of Statehood. </w:t>
      </w:r>
    </w:p>
  </w:endnote>
  <w:endnote w:id="42">
    <w:p w14:paraId="31E6B53F" w14:textId="77777777" w:rsidR="00A97A17" w:rsidRPr="009427CA" w:rsidRDefault="00A97A17" w:rsidP="00A97A17">
      <w:pPr>
        <w:pStyle w:val="EndnoteText"/>
      </w:pPr>
      <w:r>
        <w:rPr>
          <w:rStyle w:val="EndnoteReference"/>
        </w:rPr>
        <w:endnoteRef/>
      </w:r>
      <w:r>
        <w:t xml:space="preserve"> Dawson, </w:t>
      </w:r>
      <w:r>
        <w:rPr>
          <w:i/>
        </w:rPr>
        <w:t xml:space="preserve">Germany Under, </w:t>
      </w:r>
      <w:r>
        <w:t xml:space="preserve">could be an exception to this rule, but that is because he doesn’t bother with the details.  He is advocating an immediate revision to all of the territorial changes of the Versailles treaties, so there would be no reason to discuss the finer points of laws he feels must be overturned.  Morrow and van Hamel are the most concerned about the ambiguities, </w:t>
      </w:r>
      <w:r>
        <w:rPr>
          <w:i/>
        </w:rPr>
        <w:t xml:space="preserve">Peace Settlement, </w:t>
      </w:r>
      <w:r>
        <w:t xml:space="preserve"> 175 is clear that the vagueness was intentional, 179 puts great responsibility on the Peace Conference for the lack of clarity.  The articles on international law are largely descriptive, with little judgment.  Wambaugh would have agreed, as in “New Tools”, 6 in which she says that the clarity of the rules lessened conflict in the Saar.</w:t>
      </w:r>
    </w:p>
  </w:endnote>
  <w:endnote w:id="43">
    <w:p w14:paraId="7AC3F4DF" w14:textId="77777777" w:rsidR="00A97A17" w:rsidRDefault="00A97A17" w:rsidP="00A97A17">
      <w:pPr>
        <w:pStyle w:val="EndnoteText"/>
      </w:pPr>
      <w:r>
        <w:rPr>
          <w:rStyle w:val="EndnoteReference"/>
        </w:rPr>
        <w:endnoteRef/>
      </w:r>
      <w:r>
        <w:t xml:space="preserve"> Before taking on this job, van Hamel had been a law professor in the Netherlands and was the founding director of the League’s legal section, so he understood that as well. </w:t>
      </w:r>
    </w:p>
  </w:endnote>
  <w:endnote w:id="44">
    <w:p w14:paraId="4A95F7B0" w14:textId="77777777" w:rsidR="00A97A17" w:rsidRDefault="00A97A17" w:rsidP="00A97A17">
      <w:pPr>
        <w:pStyle w:val="EndnoteText"/>
      </w:pPr>
      <w:r>
        <w:rPr>
          <w:rStyle w:val="EndnoteReference"/>
        </w:rPr>
        <w:endnoteRef/>
      </w:r>
      <w:r>
        <w:t xml:space="preserve"> Van Hamel, “Danzig” both quotes from 148.  His overview of the politics is 145-49.</w:t>
      </w:r>
    </w:p>
  </w:endnote>
  <w:endnote w:id="45">
    <w:p w14:paraId="764BEB55" w14:textId="77777777" w:rsidR="00A97A17" w:rsidRPr="00E86B8B" w:rsidRDefault="00A97A17" w:rsidP="00A97A17">
      <w:pPr>
        <w:pStyle w:val="EndnoteText"/>
      </w:pPr>
      <w:r>
        <w:rPr>
          <w:rStyle w:val="EndnoteReference"/>
        </w:rPr>
        <w:endnoteRef/>
      </w:r>
      <w:r>
        <w:t xml:space="preserve"> Van Hamel, “Danzig”, 149.</w:t>
      </w:r>
    </w:p>
  </w:endnote>
  <w:endnote w:id="46">
    <w:p w14:paraId="59901842" w14:textId="77777777" w:rsidR="00A97A17" w:rsidRPr="00FF1745" w:rsidRDefault="00A97A17" w:rsidP="00A97A17">
      <w:pPr>
        <w:pStyle w:val="EndnoteText"/>
      </w:pPr>
      <w:r>
        <w:rPr>
          <w:rStyle w:val="EndnoteReference"/>
        </w:rPr>
        <w:endnoteRef/>
      </w:r>
      <w:r>
        <w:t xml:space="preserve"> Morrow, </w:t>
      </w:r>
      <w:r>
        <w:rPr>
          <w:i/>
        </w:rPr>
        <w:t xml:space="preserve">Peace Settlement, </w:t>
      </w:r>
      <w:r w:rsidRPr="00FF1745">
        <w:t>172</w:t>
      </w:r>
      <w:r>
        <w:rPr>
          <w:i/>
        </w:rPr>
        <w:t xml:space="preserve">.  </w:t>
      </w:r>
      <w:r w:rsidRPr="00837D52">
        <w:t>493 has another way of saying this:</w:t>
      </w:r>
      <w:r>
        <w:t xml:space="preserve"> </w:t>
      </w:r>
      <w:r w:rsidRPr="00837D52">
        <w:t>“The history of German-Polish relations witnesses to the ease with which groups of men can be rendered oblivious to their best interests by racial passion.”</w:t>
      </w:r>
    </w:p>
  </w:endnote>
  <w:endnote w:id="47">
    <w:p w14:paraId="07FF89E6" w14:textId="77777777" w:rsidR="00A97A17" w:rsidRDefault="00A97A17" w:rsidP="00A97A17">
      <w:pPr>
        <w:pStyle w:val="EndnoteText"/>
      </w:pPr>
      <w:r>
        <w:rPr>
          <w:rStyle w:val="EndnoteReference"/>
        </w:rPr>
        <w:endnoteRef/>
      </w:r>
      <w:r>
        <w:t xml:space="preserve"> Van Hamel, “Danzig” 149.   Hall, </w:t>
      </w:r>
      <w:r>
        <w:rPr>
          <w:i/>
        </w:rPr>
        <w:t xml:space="preserve">Mandates, </w:t>
      </w:r>
      <w:r>
        <w:t xml:space="preserve">76, agrees: </w:t>
      </w:r>
      <w:r w:rsidRPr="00C70CBC">
        <w:t>“What was to happen to South West Africa was fully predicted in advance by Mr. Balfour in a memorandum written during the Paris Peace Conference in 1919.  He was of the opinion that a moveable mandatory</w:t>
      </w:r>
      <w:r>
        <w:t xml:space="preserve"> [the possibility of peace-time change]</w:t>
      </w:r>
      <w:r w:rsidRPr="00C70CBC">
        <w:t xml:space="preserve"> might supply a perpetual incentive to agitation and intrigue.” </w:t>
      </w:r>
      <w:r>
        <w:t>As in Danzig, the agitation was for reunification with Germany.</w:t>
      </w:r>
    </w:p>
  </w:endnote>
  <w:endnote w:id="48">
    <w:p w14:paraId="715A01F0" w14:textId="77777777" w:rsidR="00A97A17" w:rsidRDefault="00A97A17" w:rsidP="00A97A17">
      <w:pPr>
        <w:pStyle w:val="EndnoteText"/>
      </w:pPr>
      <w:r>
        <w:rPr>
          <w:rStyle w:val="EndnoteReference"/>
        </w:rPr>
        <w:endnoteRef/>
      </w:r>
      <w:r>
        <w:t xml:space="preserve"> Van Hamel, “Danzig” 149-50.   Further on 150, he makes it personal: “</w:t>
      </w:r>
      <w:r w:rsidRPr="00892EC9">
        <w:t>In Danzig there is even the curious situation of citizens hesitating to work for the prosperity of their own State, and it is when Danzig is suffering and complaining, not when it is prospering, that their hearts find the greater satisfaction.</w:t>
      </w:r>
      <w:r>
        <w:t xml:space="preserve">”   </w:t>
      </w:r>
      <w:r w:rsidRPr="00BB50B2">
        <w:t>F. P.</w:t>
      </w:r>
      <w:r>
        <w:t xml:space="preserve"> </w:t>
      </w:r>
      <w:r w:rsidRPr="00BB50B2">
        <w:t xml:space="preserve">Walters, </w:t>
      </w:r>
      <w:r w:rsidRPr="00BB50B2">
        <w:rPr>
          <w:i/>
        </w:rPr>
        <w:t xml:space="preserve">A History of the League of Nations, </w:t>
      </w:r>
      <w:r>
        <w:t>(</w:t>
      </w:r>
      <w:r w:rsidRPr="00BB50B2">
        <w:t>London: Oxford University Press, 1952</w:t>
      </w:r>
      <w:r>
        <w:t xml:space="preserve">), 406, agrees: </w:t>
      </w:r>
      <w:r w:rsidRPr="00BB50B2">
        <w:t>“They [the leaders, and here read German] knew that their programme was impossible and that their campaign was likely to damage rather than improve the position of the minorities.  Such a result, however, was no disadvantage from their point of view.  They aimed at keeping alive the difficulties and resentments aroused by the Peace Treaties; and the last thing they wanted was that the minority populations should settle down as loyal and satisfied citizens of their new countries.”</w:t>
      </w:r>
      <w:r>
        <w:t xml:space="preserve">  There is more on 407.  Walters worked for the League in various administrative capacities 1919-1940 and was a deputy Secretary-General.  </w:t>
      </w:r>
    </w:p>
    <w:p w14:paraId="250935AC" w14:textId="77777777" w:rsidR="00A97A17" w:rsidRDefault="00A97A17" w:rsidP="00A97A17">
      <w:pPr>
        <w:pStyle w:val="EndnoteText"/>
      </w:pPr>
      <w:r>
        <w:t xml:space="preserve">There was also a legal discussion on the advisability of something like Article XIX, but these authors tend not to discuss the incentives in the law.  Examples would be </w:t>
      </w:r>
      <w:r w:rsidRPr="00BB50B2">
        <w:t>George</w:t>
      </w:r>
      <w:r>
        <w:t xml:space="preserve"> </w:t>
      </w:r>
      <w:r w:rsidRPr="00BB50B2">
        <w:t xml:space="preserve">Kidd, “Changes in the League, Past and Proposed”, </w:t>
      </w:r>
      <w:r w:rsidRPr="00BB50B2">
        <w:rPr>
          <w:i/>
        </w:rPr>
        <w:t>Geneva Special Studies</w:t>
      </w:r>
      <w:r w:rsidRPr="00BB50B2">
        <w:t>, Vol V No 8, Reform of the League of Nations, 1934</w:t>
      </w:r>
      <w:r>
        <w:t xml:space="preserve">, with a discussion of the article on 30-1 and </w:t>
      </w:r>
      <w:r w:rsidRPr="00BB50B2">
        <w:t xml:space="preserve">Pitman B. Potter, “Article XIX of the Covenant of the League of Nations”, </w:t>
      </w:r>
      <w:r w:rsidRPr="00BB50B2">
        <w:rPr>
          <w:i/>
        </w:rPr>
        <w:t xml:space="preserve">Geneva Studies, </w:t>
      </w:r>
      <w:r w:rsidRPr="00BB50B2">
        <w:t>Vol XIL No 2, Aug, 1941</w:t>
      </w:r>
      <w:r>
        <w:t>.</w:t>
      </w:r>
    </w:p>
  </w:endnote>
  <w:endnote w:id="49">
    <w:p w14:paraId="6D5CC719" w14:textId="77777777" w:rsidR="00A97A17" w:rsidRDefault="00A97A17" w:rsidP="00A97A17">
      <w:pPr>
        <w:pStyle w:val="EndnoteText"/>
      </w:pPr>
      <w:r>
        <w:rPr>
          <w:rStyle w:val="EndnoteReference"/>
        </w:rPr>
        <w:endnoteRef/>
      </w:r>
      <w:r>
        <w:t xml:space="preserve"> Van Hamel, “Danzig” 150, “</w:t>
      </w:r>
      <w:r w:rsidRPr="00892EC9">
        <w:t>The state of mind</w:t>
      </w:r>
      <w:r>
        <w:t xml:space="preserve"> [wanting conflict]</w:t>
      </w:r>
      <w:r w:rsidRPr="00892EC9">
        <w:t xml:space="preserve">, so natural and easily accounted for among these Germans, </w:t>
      </w:r>
      <w:r>
        <w:t xml:space="preserve">…” </w:t>
      </w:r>
    </w:p>
  </w:endnote>
  <w:endnote w:id="50">
    <w:p w14:paraId="1B4EEC17" w14:textId="77777777" w:rsidR="00A97A17" w:rsidRPr="00F025C3" w:rsidRDefault="00A97A17" w:rsidP="00A97A17">
      <w:pPr>
        <w:pStyle w:val="EndnoteText"/>
      </w:pPr>
      <w:r>
        <w:rPr>
          <w:rStyle w:val="EndnoteReference"/>
        </w:rPr>
        <w:endnoteRef/>
      </w:r>
      <w:r>
        <w:t xml:space="preserve"> Van Hamel, “Danzig”, 151 opens his paragraph on the importance of outside agitators: “</w:t>
      </w:r>
      <w:r w:rsidRPr="00C376A9">
        <w:t xml:space="preserve">Perhaps everything would be somewhat different if there were only private citizens to deal with. A settlement, a </w:t>
      </w:r>
      <w:r w:rsidRPr="00C376A9">
        <w:rPr>
          <w:i/>
        </w:rPr>
        <w:t xml:space="preserve">modus vivendi </w:t>
      </w:r>
      <w:r w:rsidRPr="00C376A9">
        <w:t>giving satisfaction to the larger part of the population on both sides, might then be more easily obtained. But there is a very numerous and very noisy group of agitators</w:t>
      </w:r>
      <w:r>
        <w:t xml:space="preserve">…”  Morrow, </w:t>
      </w:r>
      <w:r>
        <w:rPr>
          <w:i/>
        </w:rPr>
        <w:t xml:space="preserve">Peace Settlement, </w:t>
      </w:r>
      <w:r>
        <w:t>179 has “Moreover, this antagonism has been heightened by the influence exercised by the German Reich over Danzig affairs.”</w:t>
      </w:r>
    </w:p>
  </w:endnote>
  <w:endnote w:id="51">
    <w:p w14:paraId="3DC3F84F" w14:textId="77777777" w:rsidR="00A97A17" w:rsidRPr="00845724" w:rsidRDefault="00A97A17" w:rsidP="00A97A17">
      <w:pPr>
        <w:pStyle w:val="EndnoteText"/>
      </w:pPr>
      <w:r>
        <w:rPr>
          <w:rStyle w:val="EndnoteReference"/>
        </w:rPr>
        <w:endnoteRef/>
      </w:r>
      <w:r>
        <w:t xml:space="preserve"> Florinsky, </w:t>
      </w:r>
      <w:r>
        <w:rPr>
          <w:i/>
        </w:rPr>
        <w:t xml:space="preserve">Saar Struggle, </w:t>
      </w:r>
      <w:r>
        <w:t>166 dismisses any idea that an argument might be made that people are influenced by their economic good with this story: “</w:t>
      </w:r>
      <w:r w:rsidRPr="00845724">
        <w:t>And, as a well-known trade union leader who worked his way up from the bottom of a coal-pit put it to me, it is better to eat black bread among one's own people than to be fed caviar from the hands of the French and the League of Nations, that offspring of the hated Treaty of</w:t>
      </w:r>
      <w:r>
        <w:t xml:space="preserve"> Versailles.”</w:t>
      </w:r>
    </w:p>
  </w:endnote>
  <w:endnote w:id="52">
    <w:p w14:paraId="2219D341" w14:textId="77777777" w:rsidR="00A97A17" w:rsidRDefault="00A97A17" w:rsidP="00A97A17">
      <w:pPr>
        <w:pStyle w:val="EndnoteText"/>
      </w:pPr>
      <w:r>
        <w:rPr>
          <w:rStyle w:val="EndnoteReference"/>
        </w:rPr>
        <w:endnoteRef/>
      </w:r>
      <w:r>
        <w:t xml:space="preserve"> Van Hamel, “Danzig”, 150.</w:t>
      </w:r>
    </w:p>
  </w:endnote>
  <w:endnote w:id="53">
    <w:p w14:paraId="53CA354F" w14:textId="77777777" w:rsidR="00A97A17" w:rsidRDefault="00A97A17" w:rsidP="00A97A17">
      <w:pPr>
        <w:pStyle w:val="EndnoteText"/>
      </w:pPr>
      <w:r>
        <w:rPr>
          <w:rStyle w:val="EndnoteReference"/>
        </w:rPr>
        <w:endnoteRef/>
      </w:r>
      <w:r>
        <w:t xml:space="preserve"> Wambaugh had come to the same conclusion, as seen in the “…</w:t>
      </w:r>
      <w:r w:rsidRPr="005445FB">
        <w:t xml:space="preserve"> and to show that the Treaty provisions were unworkable.”</w:t>
      </w:r>
      <w:r>
        <w:t xml:space="preserve"> quoted above on p.4. </w:t>
      </w:r>
    </w:p>
  </w:endnote>
  <w:endnote w:id="54">
    <w:p w14:paraId="0F6C0998" w14:textId="77777777" w:rsidR="00A97A17" w:rsidRDefault="00A97A17" w:rsidP="00A97A17">
      <w:pPr>
        <w:pStyle w:val="EndnoteText"/>
      </w:pPr>
      <w:r>
        <w:rPr>
          <w:rStyle w:val="EndnoteReference"/>
        </w:rPr>
        <w:endnoteRef/>
      </w:r>
      <w:r>
        <w:t xml:space="preserve"> Van Hamel, “Danzig”, 166, “</w:t>
      </w:r>
      <w:r w:rsidRPr="00444356">
        <w:t>Finally, the incessant and troublesome litigation between Danzig and Poland before the League of Nations should be restricted. It is unnecessary and undesirable that every local difference between Poland and Danzig should lead to international and sensational proceedings at Geneva. This only nourishes the political propaganda and the agitation, which it should be the object of all parties to ex</w:t>
      </w:r>
      <w:r>
        <w:t xml:space="preserve">tirpate.”  Here, of course, he ignores his own point, that the Germans actively fomented and subsidized propaganda and agitation, and that they had much to gain from it.  </w:t>
      </w:r>
    </w:p>
  </w:endnote>
  <w:endnote w:id="55">
    <w:p w14:paraId="3EB8C34B" w14:textId="77777777" w:rsidR="00A97A17" w:rsidRDefault="00A97A17" w:rsidP="00A97A17">
      <w:pPr>
        <w:pStyle w:val="EndnoteText"/>
      </w:pPr>
      <w:r>
        <w:rPr>
          <w:rStyle w:val="EndnoteReference"/>
        </w:rPr>
        <w:endnoteRef/>
      </w:r>
      <w:r>
        <w:t xml:space="preserve"> Van Hamel, “Danzig”, 167.</w:t>
      </w:r>
    </w:p>
  </w:endnote>
  <w:endnote w:id="56">
    <w:p w14:paraId="5128DB21" w14:textId="77777777" w:rsidR="00A97A17" w:rsidRPr="00C83529" w:rsidRDefault="00A97A17" w:rsidP="00A97A17">
      <w:pPr>
        <w:pStyle w:val="EndnoteText"/>
      </w:pPr>
      <w:r>
        <w:rPr>
          <w:rStyle w:val="EndnoteReference"/>
        </w:rPr>
        <w:endnoteRef/>
      </w:r>
      <w:r>
        <w:t xml:space="preserve"> Morrow, </w:t>
      </w:r>
      <w:r>
        <w:rPr>
          <w:i/>
        </w:rPr>
        <w:t xml:space="preserve">Peace Settlement, </w:t>
      </w:r>
      <w:r>
        <w:t xml:space="preserve">180.  On 175 he attempts this rational solution: “As neither of the two parties can do without the other, it should be possible with the exercise of a little common sense on both sides to produce a quite workable arrangement…”  The notion that they couldn’t do without each other seems just a bit silly. </w:t>
      </w:r>
    </w:p>
  </w:endnote>
  <w:endnote w:id="57">
    <w:p w14:paraId="276B5463" w14:textId="77777777" w:rsidR="00A97A17" w:rsidRDefault="00A97A17" w:rsidP="00A97A17">
      <w:pPr>
        <w:pStyle w:val="EndnoteText"/>
      </w:pPr>
      <w:r>
        <w:rPr>
          <w:rStyle w:val="EndnoteReference"/>
        </w:rPr>
        <w:endnoteRef/>
      </w:r>
      <w:r>
        <w:t xml:space="preserve"> Most of the authors used here wrote before WWII, though many saw it coming.  Two who wrote after, Wambaugh and Hall, are clear that there are powerful similarities to the post-war problems.  Wambaugh, “New Tools”,1, begins: “Once again, as in 1919, we look forward to a new world,…”  Hall, “International Frontier”, has a section ‘</w:t>
      </w:r>
      <w:r>
        <w:rPr>
          <w:i/>
        </w:rPr>
        <w:t xml:space="preserve">The Unity of the Problem of Peacemaking after the World Wars’, </w:t>
      </w:r>
      <w:r w:rsidRPr="00B15487">
        <w:t>51-3 that covers this.</w:t>
      </w:r>
      <w:r>
        <w:rPr>
          <w:i/>
        </w:rPr>
        <w:t xml:space="preserve"> </w:t>
      </w:r>
      <w:r>
        <w:t xml:space="preserve"> He finishes that section, 53, with </w:t>
      </w:r>
      <w:r w:rsidRPr="00901922">
        <w:t>“The problems of peacemaking after the Second World War have the same essential unity as after the first.”</w:t>
      </w:r>
    </w:p>
  </w:endnote>
  <w:endnote w:id="58">
    <w:p w14:paraId="5B9113CF" w14:textId="77777777" w:rsidR="00A97A17" w:rsidRDefault="00A97A17" w:rsidP="00A97A17">
      <w:pPr>
        <w:pStyle w:val="EndnoteText"/>
      </w:pPr>
      <w:r>
        <w:rPr>
          <w:rStyle w:val="EndnoteReference"/>
        </w:rPr>
        <w:endnoteRef/>
      </w:r>
      <w:r>
        <w:t xml:space="preserve"> </w:t>
      </w:r>
      <w:r w:rsidRPr="00DE5620">
        <w:t xml:space="preserve">Mark Mazower, </w:t>
      </w:r>
      <w:r w:rsidRPr="00DE5620">
        <w:rPr>
          <w:i/>
        </w:rPr>
        <w:t xml:space="preserve">No Enchanted Palace: The End of Empire and the Ideological Origins of the United Nations, </w:t>
      </w:r>
      <w:r w:rsidRPr="00DE5620">
        <w:t>(Princeton: Princeton University Press, 2009) makes a strong point that just after WWII was the low point of trust in international law, 122-3, 150, 193.</w:t>
      </w:r>
      <w:r>
        <w:t xml:space="preserve">  Lewis, “No-Man’s Land”, 3-6 covers this change through the lens of approaches to sovereignty, using 3 different publicists of international law.</w:t>
      </w:r>
    </w:p>
  </w:endnote>
  <w:endnote w:id="59">
    <w:p w14:paraId="67B1CEBA" w14:textId="77777777" w:rsidR="00A97A17" w:rsidRDefault="00A97A17" w:rsidP="00A97A17">
      <w:pPr>
        <w:pStyle w:val="EndnoteText"/>
      </w:pPr>
      <w:r>
        <w:rPr>
          <w:rStyle w:val="EndnoteReference"/>
        </w:rPr>
        <w:endnoteRef/>
      </w:r>
      <w:r>
        <w:t xml:space="preserve"> “The Present Status of the Saar”, 1 </w:t>
      </w:r>
      <w:r>
        <w:rPr>
          <w:i/>
        </w:rPr>
        <w:t>Documents and State Papers,</w:t>
      </w:r>
      <w:r>
        <w:t xml:space="preserve"> (1948), 435 is the only contemporaneous source I can find for this.  Much of it is economic statistics about coal and iron ore production, but it covers the politics as well.</w:t>
      </w:r>
    </w:p>
  </w:endnote>
  <w:endnote w:id="60">
    <w:p w14:paraId="2B54B04E" w14:textId="77777777" w:rsidR="00A97A17" w:rsidRDefault="00A97A17" w:rsidP="00A97A17">
      <w:pPr>
        <w:pStyle w:val="EndnoteText"/>
      </w:pPr>
      <w:r>
        <w:rPr>
          <w:rStyle w:val="EndnoteReference"/>
        </w:rPr>
        <w:endnoteRef/>
      </w:r>
      <w:r>
        <w:t xml:space="preserve"> “Present Status”, 436, “…[French forces] </w:t>
      </w:r>
      <w:r w:rsidRPr="004F75D1">
        <w:t>have since decisively altered the political status of this area by removing it from German jurisdiction and their zone of occupation and attaching it economically to France. International agreement is still lacking for the new situation thus created.</w:t>
      </w:r>
      <w:r>
        <w:t>”</w:t>
      </w:r>
    </w:p>
  </w:endnote>
  <w:endnote w:id="61">
    <w:p w14:paraId="6AFC680A" w14:textId="77777777" w:rsidR="00A97A17" w:rsidRDefault="00A97A17" w:rsidP="00A97A17">
      <w:pPr>
        <w:pStyle w:val="EndnoteText"/>
      </w:pPr>
      <w:r>
        <w:rPr>
          <w:rStyle w:val="EndnoteReference"/>
        </w:rPr>
        <w:endnoteRef/>
      </w:r>
      <w:r>
        <w:t xml:space="preserve"> “Present Status”, 436 is administration; economy, 436-442; domestic politics, 442-444; the constitution and legal standing, 444-446.</w:t>
      </w:r>
    </w:p>
  </w:endnote>
  <w:endnote w:id="62">
    <w:p w14:paraId="70304150" w14:textId="77777777" w:rsidR="00A97A17" w:rsidRDefault="00A97A17" w:rsidP="00A97A17">
      <w:pPr>
        <w:pStyle w:val="EndnoteText"/>
      </w:pPr>
      <w:r>
        <w:rPr>
          <w:rStyle w:val="EndnoteReference"/>
        </w:rPr>
        <w:endnoteRef/>
      </w:r>
      <w:r>
        <w:t xml:space="preserve"> “Present Status” 447.</w:t>
      </w:r>
    </w:p>
  </w:endnote>
  <w:endnote w:id="63">
    <w:p w14:paraId="064699AB" w14:textId="77777777" w:rsidR="00A97A17" w:rsidRDefault="00A97A17" w:rsidP="00A97A17">
      <w:pPr>
        <w:pStyle w:val="EndnoteText"/>
      </w:pPr>
      <w:r>
        <w:rPr>
          <w:rStyle w:val="EndnoteReference"/>
        </w:rPr>
        <w:endnoteRef/>
      </w:r>
      <w:r>
        <w:t xml:space="preserve"> There is a lot of contemporaneous writing about Trieste, as it was one of the first points of conflict in the Cold war.  Josef L. Kunz, “The Free Territory of Trieste,” </w:t>
      </w:r>
      <w:r w:rsidRPr="00717AA7">
        <w:rPr>
          <w:i/>
        </w:rPr>
        <w:t xml:space="preserve">The Western Political Quarterly, </w:t>
      </w:r>
      <w:r w:rsidRPr="00717AA7">
        <w:t>1, No. 2 (Jun., 1948), pp. 99-112</w:t>
      </w:r>
      <w:r>
        <w:t xml:space="preserve">.  This is a general article, with the history and politics, but mainly covers issues of international law.  John L. Lovitt, “Trieste-The United Nation’s First Experiment in Government,” 19 </w:t>
      </w:r>
      <w:r w:rsidRPr="00D4195C">
        <w:rPr>
          <w:i/>
        </w:rPr>
        <w:t>Pennsylvania Bar Association Quarterly</w:t>
      </w:r>
      <w:r>
        <w:t xml:space="preserve"> (Oct, 1947), 79-82 is a brief overview of the possibility of success.  Willian B. King and Frank O’Brian, </w:t>
      </w:r>
      <w:r>
        <w:rPr>
          <w:i/>
        </w:rPr>
        <w:t xml:space="preserve">Balkans: Frontier of Two Worlds, </w:t>
      </w:r>
      <w:r>
        <w:t xml:space="preserve">(NY, NY: Alfred A. Knopf, 1947) has two chapters on Trieste, one on the history and the second on the possibility of a solution.  Richard Schuller, “Trieste,” </w:t>
      </w:r>
      <w:r>
        <w:rPr>
          <w:i/>
        </w:rPr>
        <w:t xml:space="preserve">Social Research </w:t>
      </w:r>
      <w:r>
        <w:t xml:space="preserve">13, No.4 (Dec 1946), 399-409, is written by someone who had been an Austrian bureaucrat and so fully understood the relationship of the port to Danubian trade and the states of Central Europe.  “The Permanent Statute for the Free Territory of Trieste”  </w:t>
      </w:r>
      <w:r>
        <w:rPr>
          <w:i/>
        </w:rPr>
        <w:t xml:space="preserve">International Organization, </w:t>
      </w:r>
      <w:r>
        <w:t>1, No.2, (June, 1947), 410-419 is the text of the governing document.</w:t>
      </w:r>
    </w:p>
  </w:endnote>
  <w:endnote w:id="64">
    <w:p w14:paraId="5D81F57C" w14:textId="77777777" w:rsidR="00A97A17" w:rsidRDefault="00A97A17" w:rsidP="00A97A17">
      <w:pPr>
        <w:pStyle w:val="EndnoteText"/>
      </w:pPr>
      <w:r>
        <w:rPr>
          <w:rStyle w:val="EndnoteReference"/>
        </w:rPr>
        <w:endnoteRef/>
      </w:r>
      <w:r>
        <w:t xml:space="preserve"> Like most of these ambiguous situations, it is messier than that.  The London Memorandum of Oct, 1954 still needed the Treaty of Osimo in 1975 to clear up the remaining issues and claims. </w:t>
      </w:r>
    </w:p>
  </w:endnote>
  <w:endnote w:id="65">
    <w:p w14:paraId="5DB37102" w14:textId="77777777" w:rsidR="00A97A17" w:rsidRDefault="00A97A17" w:rsidP="00A97A17">
      <w:pPr>
        <w:pStyle w:val="EndnoteText"/>
      </w:pPr>
      <w:r>
        <w:rPr>
          <w:rStyle w:val="EndnoteReference"/>
        </w:rPr>
        <w:endnoteRef/>
      </w:r>
      <w:r>
        <w:t xml:space="preserve"> Lovitt, “Trieste”, 79, 81 and 82 respectively.  On 80 he offers </w:t>
      </w:r>
      <w:r w:rsidRPr="00CE4DF7">
        <w:t>“It is thus apparent that Trieste both politically and economically is a hot potato for the United  Nations  to  handle and the task is made more difficult because the United Nations itself was not originally designed for the role it has assumed.”</w:t>
      </w:r>
    </w:p>
  </w:endnote>
  <w:endnote w:id="66">
    <w:p w14:paraId="48034732" w14:textId="77777777" w:rsidR="00A97A17" w:rsidRPr="00D25F3E" w:rsidRDefault="00A97A17" w:rsidP="00A97A17">
      <w:pPr>
        <w:pStyle w:val="EndnoteText"/>
      </w:pPr>
      <w:r>
        <w:rPr>
          <w:rStyle w:val="EndnoteReference"/>
        </w:rPr>
        <w:endnoteRef/>
      </w:r>
      <w:r>
        <w:t xml:space="preserve"> King and O’Brian, </w:t>
      </w:r>
      <w:r>
        <w:rPr>
          <w:i/>
        </w:rPr>
        <w:t>Balkans</w:t>
      </w:r>
      <w:r>
        <w:t xml:space="preserve">, 85.  </w:t>
      </w:r>
    </w:p>
  </w:endnote>
  <w:endnote w:id="67">
    <w:p w14:paraId="40CF3177" w14:textId="77777777" w:rsidR="00A97A17" w:rsidRDefault="00A97A17" w:rsidP="00A97A17">
      <w:pPr>
        <w:pStyle w:val="EndnoteText"/>
      </w:pPr>
      <w:r>
        <w:rPr>
          <w:rStyle w:val="EndnoteReference"/>
        </w:rPr>
        <w:endnoteRef/>
      </w:r>
      <w:r>
        <w:t xml:space="preserve"> Kunz, “Free Territory,” 99.</w:t>
      </w:r>
    </w:p>
  </w:endnote>
  <w:endnote w:id="68">
    <w:p w14:paraId="67A97613" w14:textId="77777777" w:rsidR="00A97A17" w:rsidRDefault="00A97A17" w:rsidP="00A97A17">
      <w:pPr>
        <w:pStyle w:val="EndnoteText"/>
      </w:pPr>
      <w:r>
        <w:rPr>
          <w:rStyle w:val="EndnoteReference"/>
        </w:rPr>
        <w:endnoteRef/>
      </w:r>
      <w:r>
        <w:t xml:space="preserve"> Kunz, “Free Territory,” 106, </w:t>
      </w:r>
      <w:r w:rsidRPr="008E7071">
        <w:t>“The Free Territory is not put under  the  protection of Great Powers  as  was the  "Republic  of  Cracow"; it  is not  constituted as an autonomous unit within  one  sovereign  State,  as was  the  "Territory of Memel'"; neither is it made into a sovereign State under the protection of the League of Nations with special rights given to Poland, as was the "Free City of Danzig." The aim of the provisions contained in the Permanent Statute is direct government by the International organization."</w:t>
      </w:r>
    </w:p>
  </w:endnote>
  <w:endnote w:id="69">
    <w:p w14:paraId="6B239A8E" w14:textId="77777777" w:rsidR="00A97A17" w:rsidRDefault="00A97A17" w:rsidP="00A97A17">
      <w:pPr>
        <w:pStyle w:val="EndnoteText"/>
      </w:pPr>
      <w:r>
        <w:rPr>
          <w:rStyle w:val="EndnoteReference"/>
        </w:rPr>
        <w:endnoteRef/>
      </w:r>
      <w:r>
        <w:t xml:space="preserve"> Kunz, “Free Territory, “ 110.  It is worth reading what comes next: “</w:t>
      </w:r>
      <w:r w:rsidRPr="006310FB">
        <w:t>The conditions for success in addition to full cooperation by Italy, Yugoslavia and among the "Big Four" would have been immediate appointment of a governor as well as a harmoniously working Security Council. None of these conditions have been fulfilled. How, one may ask, could the veto-crippled Security Council effectively administer the Free Territory? How is it possible to  guarantee the independence  and  integrity of the Free Territory by the Security Council, while the latter, as a consequence of the non-implementation of Art. 43 of the Charter of the United Nations, has no armed forces at its disposal?”</w:t>
      </w:r>
    </w:p>
  </w:endnote>
  <w:endnote w:id="70">
    <w:p w14:paraId="4FED29C1" w14:textId="77777777" w:rsidR="00A97A17" w:rsidRDefault="00A97A17" w:rsidP="00A97A17">
      <w:pPr>
        <w:pStyle w:val="EndnoteText"/>
      </w:pPr>
      <w:r>
        <w:rPr>
          <w:rStyle w:val="EndnoteReference"/>
        </w:rPr>
        <w:endnoteRef/>
      </w:r>
      <w:r>
        <w:t xml:space="preserve"> Schuller, “Trieste.” 406-407.</w:t>
      </w:r>
    </w:p>
  </w:endnote>
  <w:endnote w:id="71">
    <w:p w14:paraId="5867A7CE" w14:textId="77777777" w:rsidR="00A97A17" w:rsidRDefault="00A97A17" w:rsidP="00A97A17">
      <w:pPr>
        <w:pStyle w:val="EndnoteText"/>
      </w:pPr>
      <w:r>
        <w:rPr>
          <w:rStyle w:val="EndnoteReference"/>
        </w:rPr>
        <w:endnoteRef/>
      </w:r>
      <w:r>
        <w:t xml:space="preserve"> Lewis, “No-Man’s Land” has a discussion of the development of nation in international law on 21, fn 120.</w:t>
      </w:r>
    </w:p>
  </w:endnote>
  <w:endnote w:id="72">
    <w:p w14:paraId="1B9D69BF" w14:textId="77777777" w:rsidR="00A97A17" w:rsidRDefault="00A97A17" w:rsidP="00A97A17">
      <w:pPr>
        <w:pStyle w:val="EndnoteText"/>
      </w:pPr>
      <w:r>
        <w:rPr>
          <w:rStyle w:val="EndnoteReference"/>
        </w:rPr>
        <w:endnoteRef/>
      </w:r>
      <w:r>
        <w:t xml:space="preserve"> Roma and Jews were the exceptions to this, as they had no nation-state to protect their diasporas.</w:t>
      </w:r>
    </w:p>
  </w:endnote>
  <w:endnote w:id="73">
    <w:p w14:paraId="00EE8B0C" w14:textId="77777777" w:rsidR="00A97A17" w:rsidRDefault="00A97A17" w:rsidP="00A97A17">
      <w:pPr>
        <w:pStyle w:val="EndnoteText"/>
      </w:pPr>
      <w:r>
        <w:rPr>
          <w:rStyle w:val="EndnoteReference"/>
        </w:rPr>
        <w:endnoteRef/>
      </w:r>
      <w:r>
        <w:t xml:space="preserve"> This ignores the problem of Soviet ‘satellite states’ which clearly weren’t exercising self-determination.  They were all more homogeneous nation-states, however. </w:t>
      </w:r>
    </w:p>
  </w:endnote>
  <w:endnote w:id="74">
    <w:p w14:paraId="5A5909D9" w14:textId="77777777" w:rsidR="00A97A17" w:rsidRPr="00C70CBC" w:rsidRDefault="00A97A17" w:rsidP="00A97A17">
      <w:pPr>
        <w:pStyle w:val="EndnoteText"/>
      </w:pPr>
      <w:r>
        <w:rPr>
          <w:rStyle w:val="EndnoteReference"/>
        </w:rPr>
        <w:endnoteRef/>
      </w:r>
      <w:r>
        <w:t xml:space="preserve"> Hall, “Frontier”, 49, for the first quote, and 52 for the second.  </w:t>
      </w:r>
    </w:p>
  </w:endnote>
  <w:endnote w:id="75">
    <w:p w14:paraId="24DBB668" w14:textId="77777777" w:rsidR="00A97A17" w:rsidRDefault="00A97A17" w:rsidP="00A97A17">
      <w:pPr>
        <w:pStyle w:val="EndnoteText"/>
      </w:pPr>
      <w:r>
        <w:rPr>
          <w:rStyle w:val="EndnoteReference"/>
        </w:rPr>
        <w:endnoteRef/>
      </w:r>
      <w:r>
        <w:t xml:space="preserve"> Van Hamel, “Danzig”, his discussion is 152-54, 153 has “</w:t>
      </w:r>
      <w:r w:rsidRPr="00102F33">
        <w:t>But experience has shown that international governing bodies are not in all cases efficient, that they sometimes lack the power and authority required to rule over such territories, and that they do not necessarily promote stability and prosperity.</w:t>
      </w:r>
      <w:r>
        <w:t>” Later, there is: “</w:t>
      </w:r>
      <w:r w:rsidRPr="00102F33">
        <w:t>International authorities, in cases of great complexity, prove to be weak internally, and externally too much exposed to intrigues and counteracting influences, which form a constant source of failure and</w:t>
      </w:r>
      <w:r>
        <w:t xml:space="preserve"> instability.”</w:t>
      </w:r>
    </w:p>
  </w:endnote>
  <w:endnote w:id="76">
    <w:p w14:paraId="1BF17A4B" w14:textId="77777777" w:rsidR="00A97A17" w:rsidRDefault="00A97A17" w:rsidP="00A97A17">
      <w:pPr>
        <w:pStyle w:val="EndnoteText"/>
      </w:pPr>
      <w:r>
        <w:rPr>
          <w:rStyle w:val="EndnoteReference"/>
        </w:rPr>
        <w:endnoteRef/>
      </w:r>
      <w:r>
        <w:t xml:space="preserve"> Mason, “Status of Danzig”, 88, at the end of the introduction: “</w:t>
      </w:r>
      <w:r w:rsidRPr="000A7724">
        <w:t xml:space="preserve">Should  the  "Danzig  solution"  of  the  conflict  between   the  right of self-determination of one people and of the right to a free and  secure access to the sea of another be recommended for imitation, should </w:t>
      </w:r>
      <w:r>
        <w:t>it be</w:t>
      </w:r>
      <w:r w:rsidRPr="000A7724">
        <w:rPr>
          <w:b/>
        </w:rPr>
        <w:t xml:space="preserve"> </w:t>
      </w:r>
      <w:r w:rsidRPr="000A7724">
        <w:t>modified, or should it be entirely</w:t>
      </w:r>
      <w:r>
        <w:t xml:space="preserve"> discarded?”  I tend to think that after the various failures he lists, he finds it self-evident and not worthy of mention that it should be discarded, but that is conjecture. </w:t>
      </w:r>
    </w:p>
  </w:endnote>
  <w:endnote w:id="77">
    <w:p w14:paraId="19ED3FCD" w14:textId="77777777" w:rsidR="00A97A17" w:rsidRPr="00D079EF" w:rsidRDefault="00A97A17" w:rsidP="00A97A17">
      <w:pPr>
        <w:pStyle w:val="EndnoteText"/>
        <w:rPr>
          <w:i/>
        </w:rPr>
      </w:pPr>
      <w:r>
        <w:rPr>
          <w:rStyle w:val="EndnoteReference"/>
        </w:rPr>
        <w:endnoteRef/>
      </w:r>
      <w:r>
        <w:t xml:space="preserve"> An example of the general sense is Benjamin Rivlin, “Unity and Nationalism in Libya” </w:t>
      </w:r>
      <w:r w:rsidRPr="00451323">
        <w:rPr>
          <w:i/>
        </w:rPr>
        <w:t xml:space="preserve">Middle East Journal, </w:t>
      </w:r>
      <w:r w:rsidRPr="00451323">
        <w:t>Vol. 3, No. 1 (Jan., 1949),</w:t>
      </w:r>
      <w:r>
        <w:t xml:space="preserve"> 43, which opens the section on the possibility of international rule with “</w:t>
      </w:r>
      <w:r w:rsidRPr="00451323">
        <w:t>The unfortunate experiences in the international administration of Berlin and Trieste might be avoided,</w:t>
      </w:r>
      <w:r>
        <w:t xml:space="preserve">…”  Lord Hailey, reviewing Jean de la Roche, </w:t>
      </w:r>
      <w:r>
        <w:rPr>
          <w:i/>
        </w:rPr>
        <w:t>The Future of Colonial Peoples, Pacific Affairs 17</w:t>
      </w:r>
      <w:r w:rsidRPr="00D079EF">
        <w:t>, No 2 (June, 1944)</w:t>
      </w:r>
      <w:r>
        <w:t>, 248 has “</w:t>
      </w:r>
      <w:r w:rsidRPr="00D079EF">
        <w:t>To the first</w:t>
      </w:r>
      <w:r>
        <w:t xml:space="preserve"> [the suggestion of international administration of colonies]</w:t>
      </w:r>
      <w:r w:rsidRPr="00D079EF">
        <w:t>, one might oppose the none too encouraging experiences of Memel,  Danzig, and the Saar.</w:t>
      </w:r>
      <w:r>
        <w:t xml:space="preserve">”  These places were used as a shorthand for failure.  </w:t>
      </w:r>
    </w:p>
  </w:endnote>
  <w:endnote w:id="78">
    <w:p w14:paraId="3DB569EC" w14:textId="77777777" w:rsidR="00A97A17" w:rsidRDefault="00A97A17" w:rsidP="00A97A17">
      <w:pPr>
        <w:pStyle w:val="EndnoteText"/>
      </w:pPr>
      <w:r>
        <w:rPr>
          <w:rStyle w:val="EndnoteReference"/>
        </w:rPr>
        <w:endnoteRef/>
      </w:r>
      <w:r>
        <w:t xml:space="preserve"> The contemporary literature on Jerusalem isn’t large.  An excellent overview is Paul Mohn, “Jerusalem and the United Nations,” </w:t>
      </w:r>
      <w:r>
        <w:rPr>
          <w:i/>
        </w:rPr>
        <w:t xml:space="preserve">International Conciliation </w:t>
      </w:r>
      <w:r>
        <w:t xml:space="preserve">28, 1950, 425-471.   Mohn was exactly the person to write this history, as he was an alternate to Judge Sandstrom on UNSCOP, and so was on that trip to Palestine.  Later, he was on the staff of Mediators Bernadott and Bunche.  </w:t>
      </w:r>
      <w:r w:rsidRPr="008930A8">
        <w:t>Ilan</w:t>
      </w:r>
      <w:r>
        <w:t xml:space="preserve"> </w:t>
      </w:r>
      <w:r w:rsidRPr="008930A8">
        <w:t>Amitzur</w:t>
      </w:r>
      <w:r>
        <w:t>,</w:t>
      </w:r>
      <w:r w:rsidRPr="008930A8">
        <w:t xml:space="preserve"> </w:t>
      </w:r>
      <w:r w:rsidRPr="008930A8">
        <w:rPr>
          <w:i/>
        </w:rPr>
        <w:t xml:space="preserve">Bernadotte in Palestine, 1948: A Study in Contemporary Knight-Errantry, </w:t>
      </w:r>
      <w:r w:rsidRPr="008930A8">
        <w:t>(New York: St Martin’s Press, 1989)</w:t>
      </w:r>
      <w:r>
        <w:t xml:space="preserve"> 81 says that Mohn wrote the Jerusalem section in Resolution 181 and 134 tells that while all the rest on Bernadotte’s staff were changing their minds about what to do about Jerusalem, a major problem for them, Mohn stood firm for internationalization.  In terms of his attitudes, Bunch was willing to call him an anti-Semite in his private papers during his time on UNSCOP, </w:t>
      </w:r>
      <w:r w:rsidRPr="00D54309">
        <w:t xml:space="preserve">Urquhart, Brian, </w:t>
      </w:r>
      <w:r w:rsidRPr="00D54309">
        <w:rPr>
          <w:i/>
        </w:rPr>
        <w:t xml:space="preserve">Ralph Bunche, An American Life, </w:t>
      </w:r>
      <w:r w:rsidRPr="00D54309">
        <w:t>(</w:t>
      </w:r>
      <w:r>
        <w:t xml:space="preserve">New York, </w:t>
      </w:r>
      <w:r w:rsidRPr="00D54309">
        <w:t>New York: W.W. Norton &amp; Co., 1993)</w:t>
      </w:r>
      <w:r>
        <w:t>, 147.  R</w:t>
      </w:r>
      <w:r w:rsidRPr="008D1966">
        <w:t>. M.</w:t>
      </w:r>
      <w:r>
        <w:t xml:space="preserve"> </w:t>
      </w:r>
      <w:r w:rsidRPr="008D1966">
        <w:t xml:space="preserve">Graves, </w:t>
      </w:r>
      <w:r w:rsidRPr="008D1966">
        <w:rPr>
          <w:i/>
        </w:rPr>
        <w:t>Experiment in Anarchy,</w:t>
      </w:r>
      <w:r>
        <w:t>(</w:t>
      </w:r>
      <w:r w:rsidRPr="008D1966">
        <w:t>London: Victor Gollancz Ltd, 1949</w:t>
      </w:r>
      <w:r>
        <w:t xml:space="preserve">), is a very readable memoir of the last mandate mayor of the city, mixing the chatty with the political.  He was installed in the post because the Jewish and Arab communities couldn’t agree on a candidate. </w:t>
      </w:r>
      <w:r w:rsidRPr="00793767">
        <w:t xml:space="preserve">James G. McDonald, edited by Norman Goda, Barbara McDonald Stewart, Severin Hochberg, and Richard Brietman, </w:t>
      </w:r>
      <w:r w:rsidRPr="00793767">
        <w:rPr>
          <w:i/>
        </w:rPr>
        <w:t xml:space="preserve">To the Gates of Jerusalem: The Diaries and Papers of James G. McDonald: 1945-1947, </w:t>
      </w:r>
      <w:r>
        <w:t>(</w:t>
      </w:r>
      <w:r w:rsidRPr="00793767">
        <w:t>Bloomington: Indiana University Press, 2015</w:t>
      </w:r>
      <w:r>
        <w:t>) is selections of the diaries of the first US ambassador to Israel.</w:t>
      </w:r>
    </w:p>
    <w:p w14:paraId="73AD6364" w14:textId="77777777" w:rsidR="00A97A17" w:rsidRDefault="00A97A17" w:rsidP="00A97A17">
      <w:pPr>
        <w:pStyle w:val="EndnoteText"/>
      </w:pPr>
      <w:r>
        <w:t xml:space="preserve">Berger, “Jerusalem” and </w:t>
      </w:r>
      <w:r w:rsidRPr="00C14C99">
        <w:t>Constantine</w:t>
      </w:r>
      <w:r>
        <w:t xml:space="preserve"> </w:t>
      </w:r>
      <w:r w:rsidRPr="00C14C99">
        <w:t xml:space="preserve">Rackauskas, “The Jerusalem Problem”, </w:t>
      </w:r>
      <w:r w:rsidRPr="00C14C99">
        <w:rPr>
          <w:i/>
        </w:rPr>
        <w:t xml:space="preserve">Thought: Fordham University Quarterly </w:t>
      </w:r>
      <w:r w:rsidRPr="00C14C99">
        <w:t>25, Number 96, March, 1950, 100-114</w:t>
      </w:r>
      <w:r>
        <w:t xml:space="preserve"> tell the story from the Catholic point of view. A recent work generally on the topic of “Catholic Internationalism” is </w:t>
      </w:r>
      <w:r w:rsidRPr="000117B3">
        <w:t xml:space="preserve">Giuliana Chamedes,  </w:t>
      </w:r>
      <w:r w:rsidRPr="000117B3">
        <w:rPr>
          <w:i/>
        </w:rPr>
        <w:t xml:space="preserve">A Twentieth Century Crusade: The Vatican’s Battle to Remake Christian Europe, </w:t>
      </w:r>
      <w:r>
        <w:t>(</w:t>
      </w:r>
      <w:r w:rsidRPr="000117B3">
        <w:t>Cambridge</w:t>
      </w:r>
      <w:r>
        <w:t xml:space="preserve">: </w:t>
      </w:r>
      <w:r w:rsidRPr="000117B3">
        <w:t>Harvard University Press, 2019</w:t>
      </w:r>
      <w:r>
        <w:t xml:space="preserve">).  The book is about Vatican policy in Europe WWI-1960, and so doesn’t cover Jerusalem, but her ideas certainly cover this attempt at internationalization.  </w:t>
      </w:r>
      <w:r w:rsidRPr="00CD4796">
        <w:t>B. Burgoyne Chapman</w:t>
      </w:r>
      <w:r>
        <w:t>, “</w:t>
      </w:r>
      <w:r w:rsidRPr="00CD4796">
        <w:t>The Place of Jerusalem in the State of Israel</w:t>
      </w:r>
      <w:r>
        <w:t xml:space="preserve">”, </w:t>
      </w:r>
      <w:r w:rsidRPr="00CD4796">
        <w:rPr>
          <w:i/>
        </w:rPr>
        <w:t>The Australian Quarterly</w:t>
      </w:r>
      <w:r>
        <w:rPr>
          <w:i/>
        </w:rPr>
        <w:t xml:space="preserve"> </w:t>
      </w:r>
      <w:r w:rsidRPr="00CD4796">
        <w:t>21, No. 4 (Dec., 1949), pp. 85-95</w:t>
      </w:r>
      <w:r>
        <w:t xml:space="preserve"> is by an Australian Protestant minister who takes a pro-Zionist line against internationalization. Benjamin Shwadran, “</w:t>
      </w:r>
      <w:r w:rsidRPr="00495852">
        <w:t>Jerusalem Again</w:t>
      </w:r>
      <w:r>
        <w:t>”</w:t>
      </w:r>
      <w:r>
        <w:rPr>
          <w:i/>
        </w:rPr>
        <w:t xml:space="preserve">, Middle Eastern Affairs, </w:t>
      </w:r>
      <w:r>
        <w:t>(Dec, 1950), 357-364 is a history of the negotiations at the UN, 1949-1950.</w:t>
      </w:r>
      <w:r>
        <w:rPr>
          <w:i/>
        </w:rPr>
        <w:t xml:space="preserve"> </w:t>
      </w:r>
      <w:r>
        <w:t xml:space="preserve"> He is clearly in opposition to internationalization.  “The United Nations on Jerusalem” </w:t>
      </w:r>
      <w:r>
        <w:rPr>
          <w:i/>
        </w:rPr>
        <w:t xml:space="preserve">Middle Eastern Affairs, </w:t>
      </w:r>
      <w:r>
        <w:t>(</w:t>
      </w:r>
      <w:r w:rsidRPr="00D022F0">
        <w:t>Aug-Sept, 1950</w:t>
      </w:r>
      <w:r>
        <w:t>)</w:t>
      </w:r>
      <w:r>
        <w:rPr>
          <w:i/>
        </w:rPr>
        <w:t xml:space="preserve">, </w:t>
      </w:r>
      <w:r w:rsidRPr="00495852">
        <w:t>233-</w:t>
      </w:r>
      <w:r>
        <w:t xml:space="preserve">247 has an overview of the proceedings of the Trusteeship Council on Jerusalem, in 1950, a report by the president of the Council on the matter, and a letter from the Israeli government to the Council arguing its understanding of the situation.  </w:t>
      </w:r>
    </w:p>
    <w:p w14:paraId="5DCAD94E" w14:textId="77777777" w:rsidR="00A97A17" w:rsidRDefault="00A97A17" w:rsidP="00A97A17">
      <w:pPr>
        <w:pStyle w:val="EndnoteText"/>
      </w:pPr>
      <w:r>
        <w:t>A modern view of the events of 1948 based on Israeli documents is Shlomo Slonim, “</w:t>
      </w:r>
      <w:r w:rsidRPr="00B83DF4">
        <w:t>Israeli Policy on Jerusalem at the United Nations, 1948</w:t>
      </w:r>
      <w:r>
        <w:t xml:space="preserve">”, </w:t>
      </w:r>
      <w:r w:rsidRPr="00B83DF4">
        <w:rPr>
          <w:i/>
        </w:rPr>
        <w:t xml:space="preserve">Middle Eastern Studies, </w:t>
      </w:r>
      <w:r w:rsidRPr="00B83DF4">
        <w:t>Vol. 30, No. 3 (Jul., 1994), pp. 579-596</w:t>
      </w:r>
      <w:r>
        <w:t>.</w:t>
      </w:r>
      <w:r w:rsidRPr="00B83DF4">
        <w:t xml:space="preserve">  </w:t>
      </w:r>
      <w:r>
        <w:t xml:space="preserve"> </w:t>
      </w:r>
    </w:p>
  </w:endnote>
  <w:endnote w:id="79">
    <w:p w14:paraId="49FF676B" w14:textId="77777777" w:rsidR="00A97A17" w:rsidRPr="00D022F0" w:rsidRDefault="00A97A17" w:rsidP="00A97A17">
      <w:pPr>
        <w:pStyle w:val="EndnoteText"/>
        <w:rPr>
          <w:i/>
        </w:rPr>
      </w:pPr>
      <w:r>
        <w:rPr>
          <w:rStyle w:val="EndnoteReference"/>
        </w:rPr>
        <w:endnoteRef/>
      </w:r>
      <w:r>
        <w:t xml:space="preserve"> Berger, “Jerusalem”, 358-367 is an overview of the history of the </w:t>
      </w:r>
      <w:r>
        <w:rPr>
          <w:i/>
        </w:rPr>
        <w:t xml:space="preserve">status quo </w:t>
      </w:r>
      <w:r w:rsidRPr="0064539D">
        <w:t>from a Catholic perspective:</w:t>
      </w:r>
      <w:r>
        <w:rPr>
          <w:i/>
        </w:rPr>
        <w:t xml:space="preserve"> </w:t>
      </w:r>
      <w:r>
        <w:t xml:space="preserve">358 opines “The history of this issue [the </w:t>
      </w:r>
      <w:r>
        <w:rPr>
          <w:i/>
        </w:rPr>
        <w:t>status quo</w:t>
      </w:r>
      <w:r>
        <w:t xml:space="preserve">] is largely the history of the defense of the rights of the Latins,…against the pretentions of the Greeks and the Armenians.”  Mohn, “Jerusalem and the UN” 438-442 is the most complete section on the </w:t>
      </w:r>
      <w:r>
        <w:rPr>
          <w:i/>
        </w:rPr>
        <w:t>status quo.</w:t>
      </w:r>
    </w:p>
  </w:endnote>
  <w:endnote w:id="80">
    <w:p w14:paraId="662F44CB" w14:textId="77777777" w:rsidR="00A97A17" w:rsidRDefault="00A97A17" w:rsidP="00A97A17">
      <w:pPr>
        <w:pStyle w:val="EndnoteText"/>
      </w:pPr>
      <w:r>
        <w:rPr>
          <w:rStyle w:val="EndnoteReference"/>
        </w:rPr>
        <w:endnoteRef/>
      </w:r>
      <w:r w:rsidRPr="008D1966">
        <w:t xml:space="preserve">Graves, </w:t>
      </w:r>
      <w:r>
        <w:rPr>
          <w:i/>
        </w:rPr>
        <w:t>Anarchy</w:t>
      </w:r>
      <w:r w:rsidRPr="008D1966">
        <w:rPr>
          <w:i/>
        </w:rPr>
        <w:t xml:space="preserve">, </w:t>
      </w:r>
      <w:r>
        <w:t xml:space="preserve">71 discusses the borough plan: </w:t>
      </w:r>
      <w:r w:rsidRPr="008D1966">
        <w:t>“It [FitzGerald’s report] is attractively written, especially the historical part.  He recommends the division of the city into two boroughs, one Arab and one Jewish, under an administrative council which will have to decide matters of joint interest to both, such as water and drainage.  Such a council will need and strong and enlightened chairman with great persuasive powers.  Otherwise, the disagreements which have made it impossible to run a joint municipality in recent years will merely be perpetuated.  FitzGerald’s proposals for the delimitation of the Jewish and Arab boroughs seem to be fair, and will have the advantage of</w:t>
      </w:r>
      <w:r>
        <w:t xml:space="preserve"> </w:t>
      </w:r>
      <w:r w:rsidRPr="00965080">
        <w:t xml:space="preserve">preventing Jewish quarters from being overrun by Arabs, and the reverse, of which there is now greater danger.”  </w:t>
      </w:r>
      <w:r w:rsidRPr="001555FB">
        <w:t xml:space="preserve">Meron Benvenisti, translated by Maxine Nunn, </w:t>
      </w:r>
      <w:r w:rsidRPr="001555FB">
        <w:rPr>
          <w:i/>
        </w:rPr>
        <w:t xml:space="preserve">City of Stone: The Hidden History of Jerusalem, </w:t>
      </w:r>
      <w:r w:rsidRPr="001555FB">
        <w:t>Berkley: University of California Press, 1996</w:t>
      </w:r>
      <w:r>
        <w:t xml:space="preserve">, 210 also covers this. </w:t>
      </w:r>
    </w:p>
  </w:endnote>
  <w:endnote w:id="81">
    <w:p w14:paraId="3E6F002E" w14:textId="77777777" w:rsidR="00A97A17" w:rsidRPr="0015355D" w:rsidRDefault="00A97A17" w:rsidP="00A97A17">
      <w:pPr>
        <w:pStyle w:val="EndnoteText"/>
      </w:pPr>
      <w:r>
        <w:rPr>
          <w:rStyle w:val="EndnoteReference"/>
        </w:rPr>
        <w:endnoteRef/>
      </w:r>
      <w:r w:rsidRPr="00793767">
        <w:t xml:space="preserve">McDonald, </w:t>
      </w:r>
      <w:r w:rsidRPr="00793767">
        <w:rPr>
          <w:i/>
        </w:rPr>
        <w:t>To the Gates</w:t>
      </w:r>
      <w:r>
        <w:t>, 242, has a map of the plan and a discussion of the details.</w:t>
      </w:r>
    </w:p>
  </w:endnote>
  <w:endnote w:id="82">
    <w:p w14:paraId="4366B5C9" w14:textId="77777777" w:rsidR="00A97A17" w:rsidRDefault="00A97A17" w:rsidP="00A97A17">
      <w:pPr>
        <w:pStyle w:val="EndnoteText"/>
      </w:pPr>
      <w:r>
        <w:rPr>
          <w:rStyle w:val="EndnoteReference"/>
        </w:rPr>
        <w:endnoteRef/>
      </w:r>
      <w:r>
        <w:t xml:space="preserve"> Berger, “Jerusalem”, 367-373 covers this period.  Benevisti, </w:t>
      </w:r>
      <w:r>
        <w:rPr>
          <w:i/>
        </w:rPr>
        <w:t xml:space="preserve">City of Stone, </w:t>
      </w:r>
      <w:r>
        <w:t>93-95 also covers this attempt.</w:t>
      </w:r>
    </w:p>
  </w:endnote>
  <w:endnote w:id="83">
    <w:p w14:paraId="5658A806" w14:textId="77777777" w:rsidR="00A97A17" w:rsidRDefault="00A97A17" w:rsidP="00A97A17">
      <w:pPr>
        <w:pStyle w:val="EndnoteText"/>
      </w:pPr>
      <w:r>
        <w:rPr>
          <w:rStyle w:val="EndnoteReference"/>
        </w:rPr>
        <w:endnoteRef/>
      </w:r>
      <w:r>
        <w:t xml:space="preserve"> Berger, “Jerusalem”, 371:  “</w:t>
      </w:r>
      <w:r w:rsidRPr="004043C4">
        <w:t>On March 10, 1919, Pope Benedict XV, in an allocution in the Sacred Consistory, expressed his anxiety because of the plan to create a privileged situation in favor of the Jews in Palestine and to deliver the august monuments of the Christian religion to</w:t>
      </w:r>
      <w:r>
        <w:t xml:space="preserve"> non-Christians.”  Of course, they had been in the hands of non-Christians since the Crusades came to an end.</w:t>
      </w:r>
    </w:p>
  </w:endnote>
  <w:endnote w:id="84">
    <w:p w14:paraId="2232DD60" w14:textId="77777777" w:rsidR="00A97A17" w:rsidRPr="006649B9" w:rsidRDefault="00A97A17" w:rsidP="00A97A17">
      <w:pPr>
        <w:pStyle w:val="EndnoteText"/>
      </w:pPr>
      <w:r>
        <w:rPr>
          <w:rStyle w:val="EndnoteReference"/>
        </w:rPr>
        <w:endnoteRef/>
      </w:r>
      <w:r>
        <w:t xml:space="preserve"> Mohn, “Jerusalem and the UN”, 438.  429-433 is a useful list of all the Holy Places, where they are and who they are holy to.  Walters, </w:t>
      </w:r>
      <w:r>
        <w:rPr>
          <w:i/>
        </w:rPr>
        <w:t xml:space="preserve">A History of the League, </w:t>
      </w:r>
      <w:r>
        <w:t xml:space="preserve">213 says that the issue was never settled on account of Catholic opposition, so it is possible that it was unassigned in the text of the Mandate. </w:t>
      </w:r>
    </w:p>
  </w:endnote>
  <w:endnote w:id="85">
    <w:p w14:paraId="146374A2" w14:textId="77777777" w:rsidR="00A97A17" w:rsidRDefault="00A97A17" w:rsidP="00A97A17">
      <w:pPr>
        <w:pStyle w:val="EndnoteText"/>
      </w:pPr>
      <w:r>
        <w:rPr>
          <w:rStyle w:val="EndnoteReference"/>
        </w:rPr>
        <w:endnoteRef/>
      </w:r>
      <w:r>
        <w:t xml:space="preserve"> </w:t>
      </w:r>
      <w:hyperlink r:id="rId1" w:history="1">
        <w:r w:rsidRPr="007C5A51">
          <w:rPr>
            <w:rStyle w:val="Hyperlink"/>
          </w:rPr>
          <w:t>UNGA Res 181 (II)</w:t>
        </w:r>
      </w:hyperlink>
      <w:r>
        <w:t xml:space="preserve"> links to the document.  The objectives are C. 1. (a), (b).  Duration is D.</w:t>
      </w:r>
    </w:p>
  </w:endnote>
  <w:endnote w:id="86">
    <w:p w14:paraId="467E2CA3" w14:textId="77777777" w:rsidR="00A97A17" w:rsidRPr="00D54309" w:rsidRDefault="00A97A17" w:rsidP="00A97A17">
      <w:pPr>
        <w:pStyle w:val="EndnoteText"/>
        <w:rPr>
          <w:i/>
        </w:rPr>
      </w:pPr>
      <w:r>
        <w:rPr>
          <w:rStyle w:val="EndnoteReference"/>
        </w:rPr>
        <w:endnoteRef/>
      </w:r>
      <w:r>
        <w:t xml:space="preserve"> Trusteeship Council, Official Records, 2</w:t>
      </w:r>
      <w:r w:rsidRPr="005453B9">
        <w:rPr>
          <w:vertAlign w:val="superscript"/>
        </w:rPr>
        <w:t>nd</w:t>
      </w:r>
      <w:r>
        <w:t xml:space="preserve"> Session, 1</w:t>
      </w:r>
      <w:r w:rsidRPr="005453B9">
        <w:rPr>
          <w:vertAlign w:val="superscript"/>
        </w:rPr>
        <w:t>st</w:t>
      </w:r>
      <w:r>
        <w:t xml:space="preserve"> part, 107.  On 141, with the creation of the committee, there is </w:t>
      </w:r>
      <w:r w:rsidRPr="005453B9">
        <w:t>“This is probably the most important committee which the TC will appoint this session…”</w:t>
      </w:r>
      <w:r>
        <w:t xml:space="preserve">  .</w:t>
      </w:r>
    </w:p>
  </w:endnote>
  <w:endnote w:id="87">
    <w:p w14:paraId="7183557C" w14:textId="77777777" w:rsidR="00A97A17" w:rsidRDefault="00A97A17" w:rsidP="00A97A17">
      <w:pPr>
        <w:pStyle w:val="EndnoteText"/>
      </w:pPr>
      <w:r>
        <w:rPr>
          <w:rStyle w:val="EndnoteReference"/>
        </w:rPr>
        <w:endnoteRef/>
      </w:r>
      <w:r>
        <w:t xml:space="preserve"> Trusteeship Council, Official Records, Second Session, Part 2, p 4.  From here on, TC 2, Part 2.  His argument is 2-6.  While I quote from the Records, it should be understood that these are summary reports, and not a verbatum copy.</w:t>
      </w:r>
    </w:p>
  </w:endnote>
  <w:endnote w:id="88">
    <w:p w14:paraId="567361F1" w14:textId="77777777" w:rsidR="00A97A17" w:rsidRDefault="00A97A17" w:rsidP="00A97A17">
      <w:pPr>
        <w:pStyle w:val="EndnoteText"/>
      </w:pPr>
      <w:r>
        <w:rPr>
          <w:rStyle w:val="EndnoteReference"/>
        </w:rPr>
        <w:endnoteRef/>
      </w:r>
      <w:r>
        <w:t xml:space="preserve"> TC 2, Part 2, 2: “The map was entirely unsatisfactory; indeed, it appeared deliberately designed to produce trouble and bloodshed.” 3: “The UN, step by step, was being drawn into becoming an instrument of war rather than of peace.”  </w:t>
      </w:r>
    </w:p>
  </w:endnote>
  <w:endnote w:id="89">
    <w:p w14:paraId="238149F9" w14:textId="77777777" w:rsidR="00A97A17" w:rsidRPr="005A5C05" w:rsidRDefault="00A97A17" w:rsidP="00A97A17">
      <w:pPr>
        <w:pStyle w:val="EndnoteText"/>
      </w:pPr>
      <w:r>
        <w:rPr>
          <w:rStyle w:val="EndnoteReference"/>
        </w:rPr>
        <w:endnoteRef/>
      </w:r>
      <w:r>
        <w:t xml:space="preserve"> Graves, </w:t>
      </w:r>
      <w:r>
        <w:rPr>
          <w:i/>
        </w:rPr>
        <w:t xml:space="preserve">Anarchy, </w:t>
      </w:r>
      <w:r>
        <w:t xml:space="preserve">10 for pure bureaucracy, 11 for the quote.  </w:t>
      </w:r>
    </w:p>
  </w:endnote>
  <w:endnote w:id="90">
    <w:p w14:paraId="31FF8CC1" w14:textId="77777777" w:rsidR="00A97A17" w:rsidRPr="00544EDF" w:rsidRDefault="00A97A17" w:rsidP="00A97A17">
      <w:pPr>
        <w:pStyle w:val="EndnoteText"/>
        <w:rPr>
          <w:i/>
          <w:iCs/>
        </w:rPr>
      </w:pPr>
      <w:r>
        <w:rPr>
          <w:rStyle w:val="EndnoteReference"/>
        </w:rPr>
        <w:endnoteRef/>
      </w:r>
      <w:r>
        <w:t xml:space="preserve"> TC 2, Part 2, an incomplete list of the various discussions regarding the Governor’s powers: 14-18, the relationship of the Governor to the UN Security Council (SC).  This discussion seems to be a reaction to all the times that the various precedents were able to appeal directly to Geneva and keep their conflicts in the international sphere.  Just a year before, the Statute of Trieste had made the Governor responsible to the SC, and in this case, they made the Governor responsible to the TC, in an effort to give him more independent powers, as he would be answerable to a much less important group.  This move might also reflect the fact that Trieste was at the center of the Cold War at that moment, and Jerusalem certainly wasn’t.  </w:t>
      </w:r>
      <w:r w:rsidRPr="00EA6838">
        <w:t>31</w:t>
      </w:r>
      <w:r>
        <w:t>,</w:t>
      </w:r>
      <w:r w:rsidRPr="00EA6838">
        <w:t xml:space="preserve"> New Zealand: “The Governor was above the law as far as </w:t>
      </w:r>
      <w:r>
        <w:t>Jerusalem</w:t>
      </w:r>
      <w:r w:rsidRPr="00EA6838">
        <w:t xml:space="preserve"> was concerned, and the provision did not allow for certain legislation which might be enforceable outside the courts.  He proposed the following paragraph as a substitute: ‘The Governor shall be exempt from the operation of any legislation.’”  This seems to have been accepted.</w:t>
      </w:r>
      <w:r>
        <w:t xml:space="preserve">  32, is another discussion of broad power. 33, shows that the Governor gets to hire and fire members of the administration at will.  </w:t>
      </w:r>
      <w:r w:rsidRPr="00EA6838">
        <w:rPr>
          <w:iCs/>
        </w:rPr>
        <w:t>37</w:t>
      </w:r>
      <w:r>
        <w:rPr>
          <w:iCs/>
        </w:rPr>
        <w:t>,</w:t>
      </w:r>
      <w:r w:rsidRPr="00EA6838">
        <w:rPr>
          <w:iCs/>
        </w:rPr>
        <w:t xml:space="preserve"> Gov</w:t>
      </w:r>
      <w:r>
        <w:rPr>
          <w:iCs/>
        </w:rPr>
        <w:t>ernor</w:t>
      </w:r>
      <w:r w:rsidRPr="00EA6838">
        <w:rPr>
          <w:iCs/>
        </w:rPr>
        <w:t xml:space="preserve"> can veto legis</w:t>
      </w:r>
      <w:r>
        <w:rPr>
          <w:iCs/>
        </w:rPr>
        <w:t>lation</w:t>
      </w:r>
      <w:r w:rsidRPr="00EA6838">
        <w:rPr>
          <w:iCs/>
        </w:rPr>
        <w:t>, but also suspend</w:t>
      </w:r>
      <w:r>
        <w:rPr>
          <w:iCs/>
        </w:rPr>
        <w:t xml:space="preserve"> the Legislative Council,</w:t>
      </w:r>
      <w:r w:rsidRPr="00EA6838">
        <w:rPr>
          <w:iCs/>
        </w:rPr>
        <w:t xml:space="preserve"> </w:t>
      </w:r>
      <w:r>
        <w:rPr>
          <w:iCs/>
        </w:rPr>
        <w:t>(</w:t>
      </w:r>
      <w:r w:rsidRPr="00EA6838">
        <w:rPr>
          <w:iCs/>
        </w:rPr>
        <w:t>LC</w:t>
      </w:r>
      <w:r>
        <w:rPr>
          <w:iCs/>
        </w:rPr>
        <w:t>)</w:t>
      </w:r>
      <w:r w:rsidRPr="00EA6838">
        <w:rPr>
          <w:iCs/>
        </w:rPr>
        <w:t xml:space="preserve">, a </w:t>
      </w:r>
      <w:r>
        <w:rPr>
          <w:iCs/>
        </w:rPr>
        <w:t xml:space="preserve">much </w:t>
      </w:r>
      <w:r w:rsidRPr="00EA6838">
        <w:rPr>
          <w:iCs/>
        </w:rPr>
        <w:t>bigger power</w:t>
      </w:r>
      <w:r>
        <w:rPr>
          <w:iCs/>
        </w:rPr>
        <w:t xml:space="preserve">, as the legislature could be suspended indefinitely, whereas if the legislature were dissolved, also a right of the Governor, then new elections would have to be called and a new LC seated.  </w:t>
      </w:r>
      <w:r w:rsidRPr="00EA6838">
        <w:rPr>
          <w:iCs/>
        </w:rPr>
        <w:t>40-1</w:t>
      </w:r>
      <w:r>
        <w:rPr>
          <w:iCs/>
        </w:rPr>
        <w:t>, the</w:t>
      </w:r>
      <w:r w:rsidRPr="00EA6838">
        <w:rPr>
          <w:iCs/>
        </w:rPr>
        <w:t xml:space="preserve"> Gov</w:t>
      </w:r>
      <w:r>
        <w:rPr>
          <w:iCs/>
        </w:rPr>
        <w:t>ernor</w:t>
      </w:r>
      <w:r w:rsidRPr="00EA6838">
        <w:rPr>
          <w:iCs/>
        </w:rPr>
        <w:t xml:space="preserve"> has the right to make laws that were rejected by the LC</w:t>
      </w:r>
      <w:r>
        <w:rPr>
          <w:iCs/>
        </w:rPr>
        <w:t xml:space="preserve">.  </w:t>
      </w:r>
      <w:r w:rsidRPr="00EA6838">
        <w:rPr>
          <w:iCs/>
        </w:rPr>
        <w:t>42</w:t>
      </w:r>
      <w:r>
        <w:rPr>
          <w:iCs/>
        </w:rPr>
        <w:t>, the</w:t>
      </w:r>
      <w:r w:rsidRPr="00EA6838">
        <w:rPr>
          <w:iCs/>
        </w:rPr>
        <w:t xml:space="preserve"> Gov</w:t>
      </w:r>
      <w:r>
        <w:rPr>
          <w:iCs/>
        </w:rPr>
        <w:t>ernor</w:t>
      </w:r>
      <w:r w:rsidRPr="00EA6838">
        <w:rPr>
          <w:iCs/>
        </w:rPr>
        <w:t xml:space="preserve"> gets to put ‘finishing touches’ on leg</w:t>
      </w:r>
      <w:r>
        <w:rPr>
          <w:iCs/>
        </w:rPr>
        <w:t xml:space="preserve">islation, that is write some of his own words into it after it is passed.  </w:t>
      </w:r>
      <w:r w:rsidRPr="00EA6838">
        <w:rPr>
          <w:iCs/>
        </w:rPr>
        <w:t>43</w:t>
      </w:r>
      <w:r>
        <w:rPr>
          <w:iCs/>
        </w:rPr>
        <w:t>, the</w:t>
      </w:r>
      <w:r w:rsidRPr="00EA6838">
        <w:rPr>
          <w:iCs/>
        </w:rPr>
        <w:t xml:space="preserve"> Gov</w:t>
      </w:r>
      <w:r>
        <w:rPr>
          <w:iCs/>
        </w:rPr>
        <w:t>ernor</w:t>
      </w:r>
      <w:r w:rsidRPr="00EA6838">
        <w:rPr>
          <w:iCs/>
        </w:rPr>
        <w:t xml:space="preserve"> has 3 ways to pass laws by order</w:t>
      </w:r>
      <w:r>
        <w:rPr>
          <w:iCs/>
        </w:rPr>
        <w:t xml:space="preserve">.  </w:t>
      </w:r>
      <w:r w:rsidRPr="00EA6838">
        <w:rPr>
          <w:iCs/>
        </w:rPr>
        <w:t>46</w:t>
      </w:r>
      <w:r>
        <w:rPr>
          <w:iCs/>
        </w:rPr>
        <w:t>, the</w:t>
      </w:r>
      <w:r w:rsidRPr="00EA6838">
        <w:rPr>
          <w:iCs/>
        </w:rPr>
        <w:t xml:space="preserve"> TC </w:t>
      </w:r>
      <w:r>
        <w:rPr>
          <w:iCs/>
        </w:rPr>
        <w:t xml:space="preserve">also </w:t>
      </w:r>
      <w:r w:rsidRPr="00EA6838">
        <w:rPr>
          <w:iCs/>
        </w:rPr>
        <w:t>has right of veto over acts of the LC</w:t>
      </w:r>
      <w:r>
        <w:rPr>
          <w:iCs/>
        </w:rPr>
        <w:t>.  106,</w:t>
      </w:r>
      <w:r w:rsidRPr="00CB24D3">
        <w:rPr>
          <w:i/>
          <w:iCs/>
        </w:rPr>
        <w:t xml:space="preserve"> </w:t>
      </w:r>
      <w:r w:rsidRPr="00CB24D3">
        <w:rPr>
          <w:iCs/>
        </w:rPr>
        <w:t>it looks like ratifying foreign treaties will be taken away from the legislature and given to the TC</w:t>
      </w:r>
      <w:r>
        <w:rPr>
          <w:iCs/>
        </w:rPr>
        <w:t xml:space="preserve">  81 discussions about the head of the LC assume non-cooperation with the UN regime</w:t>
      </w:r>
      <w:r>
        <w:rPr>
          <w:i/>
          <w:iCs/>
        </w:rPr>
        <w:t xml:space="preserve">.  </w:t>
      </w:r>
      <w:r w:rsidRPr="00EA6838">
        <w:rPr>
          <w:iCs/>
        </w:rPr>
        <w:t>108</w:t>
      </w:r>
      <w:r>
        <w:rPr>
          <w:iCs/>
        </w:rPr>
        <w:t>, the</w:t>
      </w:r>
      <w:r w:rsidRPr="00EA6838">
        <w:rPr>
          <w:iCs/>
        </w:rPr>
        <w:t xml:space="preserve"> Gov</w:t>
      </w:r>
      <w:r>
        <w:rPr>
          <w:iCs/>
        </w:rPr>
        <w:t>ernor</w:t>
      </w:r>
      <w:r w:rsidRPr="00EA6838">
        <w:rPr>
          <w:iCs/>
        </w:rPr>
        <w:t xml:space="preserve"> is given some sort of oversight over H</w:t>
      </w:r>
      <w:r>
        <w:rPr>
          <w:iCs/>
        </w:rPr>
        <w:t xml:space="preserve">oly </w:t>
      </w:r>
      <w:r w:rsidRPr="00EA6838">
        <w:rPr>
          <w:iCs/>
        </w:rPr>
        <w:t>P</w:t>
      </w:r>
      <w:r>
        <w:rPr>
          <w:iCs/>
        </w:rPr>
        <w:t>laces</w:t>
      </w:r>
      <w:r w:rsidRPr="00EA6838">
        <w:rPr>
          <w:iCs/>
        </w:rPr>
        <w:t xml:space="preserve"> outside of the city in</w:t>
      </w:r>
      <w:r>
        <w:rPr>
          <w:iCs/>
        </w:rPr>
        <w:t xml:space="preserve"> Israel and Jordan</w:t>
      </w:r>
      <w:r w:rsidRPr="00EA6838">
        <w:rPr>
          <w:iCs/>
        </w:rPr>
        <w:t>, this seems like a big innovation, but is gone over quickly</w:t>
      </w:r>
      <w:r>
        <w:rPr>
          <w:iCs/>
        </w:rPr>
        <w:t>.  123 conflict between the LC and the government is assumed.</w:t>
      </w:r>
      <w:r>
        <w:rPr>
          <w:i/>
          <w:iCs/>
        </w:rPr>
        <w:t xml:space="preserve">  </w:t>
      </w:r>
      <w:r w:rsidRPr="00EA6838">
        <w:rPr>
          <w:iCs/>
        </w:rPr>
        <w:t>131</w:t>
      </w:r>
      <w:r>
        <w:rPr>
          <w:iCs/>
        </w:rPr>
        <w:t>,</w:t>
      </w:r>
      <w:r w:rsidRPr="00EA6838">
        <w:rPr>
          <w:iCs/>
        </w:rPr>
        <w:t xml:space="preserve"> </w:t>
      </w:r>
      <w:r>
        <w:rPr>
          <w:iCs/>
        </w:rPr>
        <w:t>about the</w:t>
      </w:r>
      <w:r w:rsidRPr="00EA6838">
        <w:rPr>
          <w:iCs/>
        </w:rPr>
        <w:t xml:space="preserve"> makeup of the LC, they seem to give the power to the Gov</w:t>
      </w:r>
      <w:r>
        <w:rPr>
          <w:iCs/>
        </w:rPr>
        <w:t>ernor</w:t>
      </w:r>
      <w:r w:rsidRPr="00EA6838">
        <w:rPr>
          <w:iCs/>
        </w:rPr>
        <w:t xml:space="preserve"> to decide on how it ought to go.  </w:t>
      </w:r>
      <w:r>
        <w:rPr>
          <w:i/>
          <w:iCs/>
        </w:rPr>
        <w:t xml:space="preserve"> </w:t>
      </w:r>
      <w:r w:rsidRPr="00EA6838">
        <w:rPr>
          <w:iCs/>
        </w:rPr>
        <w:t>133</w:t>
      </w:r>
      <w:r>
        <w:rPr>
          <w:iCs/>
        </w:rPr>
        <w:t>,</w:t>
      </w:r>
      <w:r w:rsidRPr="00EA6838">
        <w:rPr>
          <w:iCs/>
        </w:rPr>
        <w:t xml:space="preserve"> Phil</w:t>
      </w:r>
      <w:r>
        <w:rPr>
          <w:iCs/>
        </w:rPr>
        <w:t>ippines</w:t>
      </w:r>
      <w:r w:rsidRPr="00EA6838">
        <w:rPr>
          <w:iCs/>
        </w:rPr>
        <w:t xml:space="preserve"> again wants to lessen the Gov</w:t>
      </w:r>
      <w:r>
        <w:rPr>
          <w:iCs/>
        </w:rPr>
        <w:t>ernor</w:t>
      </w:r>
      <w:r w:rsidRPr="00EA6838">
        <w:rPr>
          <w:iCs/>
        </w:rPr>
        <w:t>’s powers to control the working of the LC</w:t>
      </w:r>
      <w:r>
        <w:rPr>
          <w:iCs/>
        </w:rPr>
        <w:t>.</w:t>
      </w:r>
      <w:r w:rsidRPr="00EA6838">
        <w:rPr>
          <w:iCs/>
        </w:rPr>
        <w:t xml:space="preserve">  They give the Gov</w:t>
      </w:r>
      <w:r>
        <w:rPr>
          <w:iCs/>
        </w:rPr>
        <w:t>ernor</w:t>
      </w:r>
      <w:r w:rsidRPr="00EA6838">
        <w:rPr>
          <w:iCs/>
        </w:rPr>
        <w:t xml:space="preserve"> very wide powers here</w:t>
      </w:r>
      <w:r>
        <w:rPr>
          <w:iCs/>
        </w:rPr>
        <w:t>.</w:t>
      </w:r>
      <w:r>
        <w:rPr>
          <w:i/>
          <w:iCs/>
        </w:rPr>
        <w:t xml:space="preserve">  </w:t>
      </w:r>
      <w:r w:rsidRPr="00EA6838">
        <w:rPr>
          <w:iCs/>
        </w:rPr>
        <w:t>176</w:t>
      </w:r>
      <w:r>
        <w:rPr>
          <w:iCs/>
        </w:rPr>
        <w:t>,</w:t>
      </w:r>
      <w:r w:rsidRPr="00EA6838">
        <w:rPr>
          <w:iCs/>
        </w:rPr>
        <w:t xml:space="preserve"> more on the Gov</w:t>
      </w:r>
      <w:r>
        <w:rPr>
          <w:iCs/>
        </w:rPr>
        <w:t>ernor</w:t>
      </w:r>
      <w:r w:rsidRPr="00EA6838">
        <w:rPr>
          <w:iCs/>
        </w:rPr>
        <w:t xml:space="preserve"> dissolving the L</w:t>
      </w:r>
      <w:r>
        <w:rPr>
          <w:iCs/>
        </w:rPr>
        <w:t xml:space="preserve">C.  Some of these powers were put into the Statute, but some of them were in a letter of instructions to the Governor, which a separate working committee was drawing up. </w:t>
      </w:r>
    </w:p>
  </w:endnote>
  <w:endnote w:id="91">
    <w:p w14:paraId="33C7A3E7" w14:textId="77777777" w:rsidR="00A97A17" w:rsidRDefault="00A97A17" w:rsidP="00A97A17">
      <w:pPr>
        <w:pStyle w:val="EndnoteText"/>
      </w:pPr>
      <w:r>
        <w:rPr>
          <w:rStyle w:val="EndnoteReference"/>
        </w:rPr>
        <w:endnoteRef/>
      </w:r>
      <w:r>
        <w:t xml:space="preserve"> TC 2, Part 2, 38-39.  Earlier on 38, he says “The paragraph under consideration seemed to give the Governor certain dictatorial powers.”  On 80 he again objects to the Governor’s powers and is told that the situation is special in Jerusalem, and warrants that solution.  On 133 he argues to lessen the Governor’s control of the LC, but fails.  </w:t>
      </w:r>
    </w:p>
  </w:endnote>
  <w:endnote w:id="92">
    <w:p w14:paraId="0CE79BF4" w14:textId="77777777" w:rsidR="00A97A17" w:rsidRDefault="00A97A17" w:rsidP="00A97A17">
      <w:pPr>
        <w:pStyle w:val="EndnoteText"/>
      </w:pPr>
      <w:r>
        <w:rPr>
          <w:rStyle w:val="EndnoteReference"/>
        </w:rPr>
        <w:endnoteRef/>
      </w:r>
      <w:r>
        <w:t xml:space="preserve"> TC 2, Part 2, 53: “Mr. Mohn… agreed with Mr. Eliash [representative of the Jewish Agency] that none of the proposals which had so far been submitted was satisfactory from a democratic point of view.  He would like to see democracy applied in Jerusalem, but it should be realized that democracy was not only a form of government but a state of mind.  The population of Jerusalem had had little experience in democracy, and to experiment in that field under present conditions would be dangerous.  He hoped that a satisfactory form of democracy would be found in the future; the Statute could always be revised, and in any case would come up for revision in ten years.”  He continues his arguments against democratic rule on 61. </w:t>
      </w:r>
    </w:p>
  </w:endnote>
  <w:endnote w:id="93">
    <w:p w14:paraId="2C569A9C" w14:textId="77777777" w:rsidR="00A97A17" w:rsidRDefault="00A97A17" w:rsidP="00A97A17">
      <w:pPr>
        <w:pStyle w:val="EndnoteText"/>
      </w:pPr>
      <w:r>
        <w:rPr>
          <w:rStyle w:val="EndnoteReference"/>
        </w:rPr>
        <w:endnoteRef/>
      </w:r>
      <w:r>
        <w:t xml:space="preserve"> TC 2, Part 2, 23, the French seek to lessen the rights of the population to petition the UN.  This had been recommended by van Hamel in the case of Danzig and commented on by Wambaugh in the Saar.  116,</w:t>
      </w:r>
      <w:r w:rsidRPr="00720D84">
        <w:t xml:space="preserve"> “Mr</w:t>
      </w:r>
      <w:r>
        <w:t>.</w:t>
      </w:r>
      <w:r w:rsidRPr="00720D84">
        <w:t xml:space="preserve"> Reid (New Zealand) pointed out that with the entry into force of the Statute any existing laws which restricted freedom of speech and assembly would be abrogated, and unless the Governor as his first act declared a state of emergency and issued analogous orders there would be no provisions for enforcing order in the City”</w:t>
      </w:r>
      <w:r>
        <w:t xml:space="preserve"> The implication is that even the slightest gap in dictatorial powers will lead to chaos.  This was 3 March 1948, and there was indeed already chaos and threat of starvation and thirst in the city.</w:t>
      </w:r>
    </w:p>
  </w:endnote>
  <w:endnote w:id="94">
    <w:p w14:paraId="11762AA4" w14:textId="77777777" w:rsidR="00A97A17" w:rsidRDefault="00A97A17" w:rsidP="00A97A17">
      <w:pPr>
        <w:pStyle w:val="EndnoteText"/>
      </w:pPr>
      <w:r>
        <w:rPr>
          <w:rStyle w:val="EndnoteReference"/>
        </w:rPr>
        <w:endnoteRef/>
      </w:r>
      <w:r>
        <w:t xml:space="preserve"> “</w:t>
      </w:r>
      <w:r w:rsidRPr="00983424">
        <w:t>Statute of Trieste</w:t>
      </w:r>
      <w:r>
        <w:t>,” 413, Article 12.</w:t>
      </w:r>
    </w:p>
  </w:endnote>
  <w:endnote w:id="95">
    <w:p w14:paraId="7D4E927E" w14:textId="77777777" w:rsidR="00A97A17" w:rsidRDefault="00A97A17" w:rsidP="00A97A17">
      <w:pPr>
        <w:pStyle w:val="EndnoteText"/>
      </w:pPr>
      <w:r>
        <w:rPr>
          <w:rStyle w:val="EndnoteReference"/>
        </w:rPr>
        <w:endnoteRef/>
      </w:r>
      <w:r>
        <w:t xml:space="preserve"> TC 2, Part 2, 26-27, 35 is about who would vote and how long they would have to be residents of the City.  48 the Jewish Agency (JA) opposes a plan as it isn’t democratic. 55-61 The French are anxious that the Christians of the City would have their own seats in the LC and propose a 10-10-10, Jewish, Arab and Christian LC, even while admitting, on 55, that it gives the Christians too much power.  61-62, Mohn, speaking for the Secretariat, strongly supports voting by communities.  61-65 and 71-75 are more of this discussion. 84 the problems of rule by a majority or by a dissenting minority, depending on which system was chosen.  114 Moshe Shertok, speaking for the JA, explicitly threatens non-cooperation with the international regime if there isn’t at least equality of Jewish votes in the LC, as they are about 50% of the territory, 2/3 of the City, and pay a majority of the taxes.  Mohn, “Jerusalem and the UN,” 450, gives the 1946 census figures, which support the JA’s contentions. 453 gives the populations in the </w:t>
      </w:r>
      <w:r w:rsidRPr="00092780">
        <w:rPr>
          <w:i/>
        </w:rPr>
        <w:t>corpus seperatum</w:t>
      </w:r>
      <w:r>
        <w:t xml:space="preserve"> which gave a slight edge to the combined Arabs and Christians.  </w:t>
      </w:r>
    </w:p>
  </w:endnote>
  <w:endnote w:id="96">
    <w:p w14:paraId="4A56DF76" w14:textId="77777777" w:rsidR="00A97A17" w:rsidRDefault="00A97A17" w:rsidP="00A97A17">
      <w:pPr>
        <w:pStyle w:val="EndnoteText"/>
      </w:pPr>
      <w:r>
        <w:rPr>
          <w:rStyle w:val="EndnoteReference"/>
        </w:rPr>
        <w:endnoteRef/>
      </w:r>
      <w:r>
        <w:t xml:space="preserve"> TC 2, Part 2, 26-29 begins the discussions of residency and citizenship.</w:t>
      </w:r>
      <w:r w:rsidRPr="00F840D3">
        <w:t xml:space="preserve"> 65 starts the discussion of rights of citizens as opposed to residents</w:t>
      </w:r>
      <w:r>
        <w:t xml:space="preserve">.  </w:t>
      </w:r>
      <w:r w:rsidRPr="00F840D3">
        <w:t>66 problem of electing a resident who was a citizen of another state to the legisl</w:t>
      </w:r>
      <w:r>
        <w:t>ature</w:t>
      </w:r>
      <w:r w:rsidRPr="00F840D3">
        <w:t xml:space="preserve"> and what that might mean</w:t>
      </w:r>
      <w:r>
        <w:t xml:space="preserve">.  </w:t>
      </w:r>
      <w:r w:rsidRPr="00F840D3">
        <w:t>28, 67</w:t>
      </w:r>
      <w:r>
        <w:t>,</w:t>
      </w:r>
      <w:r w:rsidRPr="00F840D3">
        <w:t xml:space="preserve"> 181 excludes the possibility of dual citizenship</w:t>
      </w:r>
      <w:r>
        <w:t xml:space="preserve">.  </w:t>
      </w:r>
      <w:r w:rsidRPr="00F840D3">
        <w:t>67-68</w:t>
      </w:r>
      <w:r>
        <w:t>,</w:t>
      </w:r>
      <w:r w:rsidRPr="00F840D3">
        <w:t xml:space="preserve"> it gets weirder- since </w:t>
      </w:r>
      <w:r>
        <w:t>Jerusalem</w:t>
      </w:r>
      <w:r w:rsidRPr="00F840D3">
        <w:t xml:space="preserve"> wouldn’t be a state, loyalty to the city didn’t exclude other loyalties</w:t>
      </w:r>
      <w:r>
        <w:t xml:space="preserve">.  </w:t>
      </w:r>
      <w:r w:rsidRPr="00F840D3">
        <w:t xml:space="preserve">75 back to the issue of if residents or citizens only can be elected to </w:t>
      </w:r>
      <w:r>
        <w:t xml:space="preserve">the LC.  </w:t>
      </w:r>
      <w:r w:rsidRPr="00F840D3">
        <w:t>77 more on citizenship, they don’t see why anyone would want to be a citizen</w:t>
      </w:r>
      <w:r>
        <w:t xml:space="preserve">.  </w:t>
      </w:r>
      <w:r w:rsidRPr="00F840D3">
        <w:t xml:space="preserve">82 back to questions of citizens and residents in the </w:t>
      </w:r>
      <w:r>
        <w:t xml:space="preserve">LC.  </w:t>
      </w:r>
      <w:r w:rsidRPr="00F840D3">
        <w:t>166 the oath of allegiance is problematic- is it possible that the people will really only be citizens of the City, which isn’t a state, and is composed of warring communities?</w:t>
      </w:r>
    </w:p>
  </w:endnote>
  <w:endnote w:id="97">
    <w:p w14:paraId="01C79D18" w14:textId="77777777" w:rsidR="00A97A17" w:rsidRDefault="00A97A17" w:rsidP="00A97A17">
      <w:pPr>
        <w:pStyle w:val="EndnoteText"/>
      </w:pPr>
      <w:r>
        <w:rPr>
          <w:rStyle w:val="EndnoteReference"/>
        </w:rPr>
        <w:endnoteRef/>
      </w:r>
      <w:r>
        <w:t xml:space="preserve"> TC 2, Part 2, 82.  This is in agreement with 28, France: “A paradoxical situation was likely to result, therefore, whereby the only citizens of Jerusalem might be foreigners, with perhaps a handful of Arab and Jewish dissidents.  It might even be difficult to find forty suitable persons to be elected to the Legislative Council.” Belgium agrees with this on 29.  In fact, on reading the oaths of the various offices in T/144, Annex, 17-19, it is hard to imagine that most Arab or Jewish residents of the city would be willing to mouth them, thus making it impossible to fill the functions.  </w:t>
      </w:r>
    </w:p>
  </w:endnote>
  <w:endnote w:id="98">
    <w:p w14:paraId="61E2526C" w14:textId="77777777" w:rsidR="00A97A17" w:rsidRDefault="00A97A17" w:rsidP="00A97A17">
      <w:pPr>
        <w:pStyle w:val="EndnoteText"/>
      </w:pPr>
      <w:r>
        <w:rPr>
          <w:rStyle w:val="EndnoteReference"/>
        </w:rPr>
        <w:endnoteRef/>
      </w:r>
      <w:r>
        <w:t xml:space="preserve"> TC 2, Part 2, 76.  A partial list of the times when innovations and anomalies are mentioned: </w:t>
      </w:r>
      <w:r w:rsidRPr="00CC2DFC">
        <w:t xml:space="preserve">2 Iraq notes that it is illegal in </w:t>
      </w:r>
      <w:r>
        <w:t>its</w:t>
      </w:r>
      <w:r w:rsidRPr="00CC2DFC">
        <w:t xml:space="preserve"> reading of the UN Charter</w:t>
      </w:r>
      <w:r>
        <w:t xml:space="preserve">.  </w:t>
      </w:r>
      <w:r w:rsidRPr="00CC2DFC">
        <w:t>10-11 Philippines notes that though the TC was the administering power, this would be outside of the Trusteeship system and so not governed by its rules, and the US affirms this is true</w:t>
      </w:r>
      <w:r>
        <w:t xml:space="preserve">.  </w:t>
      </w:r>
      <w:r w:rsidRPr="00CC2DFC">
        <w:t>11 Fr</w:t>
      </w:r>
      <w:r>
        <w:t>ance</w:t>
      </w:r>
      <w:r w:rsidRPr="00CC2DFC">
        <w:t xml:space="preserve"> notes that it is a juridical innovation</w:t>
      </w:r>
      <w:r>
        <w:t xml:space="preserve">. </w:t>
      </w:r>
      <w:r w:rsidRPr="00CC2DFC">
        <w:t xml:space="preserve"> 11</w:t>
      </w:r>
      <w:r>
        <w:t>-12</w:t>
      </w:r>
      <w:r w:rsidRPr="00CC2DFC">
        <w:t xml:space="preserve"> Belg</w:t>
      </w:r>
      <w:r>
        <w:t>ium</w:t>
      </w:r>
      <w:r w:rsidRPr="00CC2DFC">
        <w:t xml:space="preserve"> agrees that it is outside</w:t>
      </w:r>
      <w:r>
        <w:t xml:space="preserve"> any understanding</w:t>
      </w:r>
      <w:r w:rsidRPr="00CC2DFC">
        <w:t>, and therefore the usual rules don’t apply</w:t>
      </w:r>
      <w:r>
        <w:t xml:space="preserve">.  </w:t>
      </w:r>
      <w:r w:rsidRPr="00CC2DFC">
        <w:t>14-18,</w:t>
      </w:r>
      <w:r>
        <w:t xml:space="preserve"> 68,</w:t>
      </w:r>
      <w:r w:rsidRPr="00CC2DFC">
        <w:t xml:space="preserve"> it won’t be a state or trusteeship, but it isn’t determined what it will be</w:t>
      </w:r>
      <w:r>
        <w:t xml:space="preserve">.  </w:t>
      </w:r>
      <w:r w:rsidRPr="00CC2DFC">
        <w:t>66 Mex</w:t>
      </w:r>
      <w:r>
        <w:t>ico</w:t>
      </w:r>
      <w:r w:rsidRPr="00CC2DFC">
        <w:t xml:space="preserve"> notes another “juridical anomaly”, plus other conflicts</w:t>
      </w:r>
      <w:r>
        <w:t xml:space="preserve">.  </w:t>
      </w:r>
      <w:r w:rsidRPr="00CC2DFC">
        <w:t>75 Another innovation in IL about gov</w:t>
      </w:r>
      <w:r>
        <w:t>ernmen</w:t>
      </w:r>
      <w:r w:rsidRPr="00CC2DFC">
        <w:t>ts releasing their citizens from duties in order to serve another govt</w:t>
      </w:r>
      <w:r>
        <w:t xml:space="preserve">.  </w:t>
      </w:r>
      <w:r w:rsidRPr="00CC2DFC">
        <w:t>77-78 something about the cit</w:t>
      </w:r>
      <w:r>
        <w:t>izen</w:t>
      </w:r>
      <w:r w:rsidRPr="00CC2DFC">
        <w:t xml:space="preserve"> issue that is contrary to IL</w:t>
      </w:r>
      <w:r>
        <w:t xml:space="preserve">.  </w:t>
      </w:r>
      <w:r w:rsidRPr="00CC2DFC">
        <w:t>125 the possibility that Arab men will be given extra votes so they could vote them for their wives, and this coming from the JA in an effort to support proportional rep</w:t>
      </w:r>
      <w:r>
        <w:t xml:space="preserve">resentation.  </w:t>
      </w:r>
      <w:r w:rsidRPr="00CC2DFC">
        <w:t xml:space="preserve">130 </w:t>
      </w:r>
      <w:r>
        <w:t>“</w:t>
      </w:r>
      <w:r w:rsidRPr="00CC2DFC">
        <w:t>Mr Rykmans (Belgium) pointed out that the innovation existed in the text of the resolution by which the Council’s work was bound to be guided.”</w:t>
      </w:r>
      <w:r>
        <w:t xml:space="preserve"> In response to a French worry about “an extraordinary legal innovation” </w:t>
      </w:r>
      <w:r w:rsidRPr="00CC2DFC">
        <w:t>130 another innovation is the possibility of different citizenship of parents and minors</w:t>
      </w:r>
      <w:r>
        <w:t xml:space="preserve">.  </w:t>
      </w:r>
    </w:p>
  </w:endnote>
  <w:endnote w:id="99">
    <w:p w14:paraId="4280D5A0" w14:textId="77777777" w:rsidR="00A97A17" w:rsidRDefault="00A97A17" w:rsidP="00A97A17">
      <w:pPr>
        <w:pStyle w:val="EndnoteText"/>
      </w:pPr>
      <w:r>
        <w:rPr>
          <w:rStyle w:val="EndnoteReference"/>
        </w:rPr>
        <w:endnoteRef/>
      </w:r>
      <w:r>
        <w:t xml:space="preserve"> TC 2, Part 2, 62.  He gives a clear picture of his justification on 12: “Mr Reid (New Zealand) pointed out the legal difference between Jerusalem and Trust Territories and Non-Self-Governing Territories.  The GA had not provided that Jerusalem should not be free because it was unfitted for self-government, nor was the ten-year period of UN administration a period to be devoted to preparation for self-government.  The idea was that Jerusalem should be self-governing within certain specific limits which would ensure the preservation of the religious and historical interests of the City.”  Ascribing interests to the City is a bit odd, but there were certainly States with interests.  Also, I very much doubt that the primary difference was legal, but of intent.  After all, they had just all agreed that there was no legal framework for what they were attempting to do.  It is interesting that here he contradicts Mohn and others who agreed with him that the residents weren’t ready for democracy.  He makes it clear that the international community doesn’t want them to have it.    </w:t>
      </w:r>
    </w:p>
  </w:endnote>
  <w:endnote w:id="100">
    <w:p w14:paraId="6390242E" w14:textId="77777777" w:rsidR="00A97A17" w:rsidRDefault="00A97A17" w:rsidP="00A97A17">
      <w:pPr>
        <w:pStyle w:val="EndnoteText"/>
      </w:pPr>
      <w:r>
        <w:rPr>
          <w:rStyle w:val="EndnoteReference"/>
        </w:rPr>
        <w:endnoteRef/>
      </w:r>
      <w:r>
        <w:t xml:space="preserve"> TC 2, Part 2, 47.</w:t>
      </w:r>
    </w:p>
  </w:endnote>
  <w:endnote w:id="101">
    <w:p w14:paraId="2BC8D65F" w14:textId="77777777" w:rsidR="00A97A17" w:rsidRDefault="00A97A17" w:rsidP="00A97A17">
      <w:pPr>
        <w:pStyle w:val="EndnoteText"/>
      </w:pPr>
      <w:r>
        <w:rPr>
          <w:rStyle w:val="EndnoteReference"/>
        </w:rPr>
        <w:endnoteRef/>
      </w:r>
      <w:r>
        <w:t xml:space="preserve"> TC 2, Part 2, 66.  There is a long history to the idea that the international community would be primary in Palestine.  Compare to </w:t>
      </w:r>
      <w:r w:rsidRPr="005D411D">
        <w:t>Quincy</w:t>
      </w:r>
      <w:r>
        <w:t xml:space="preserve"> </w:t>
      </w:r>
      <w:r w:rsidRPr="005D411D">
        <w:t>Wright, "The Palestine Problem." </w:t>
      </w:r>
      <w:r w:rsidRPr="005D411D">
        <w:rPr>
          <w:i/>
          <w:iCs/>
        </w:rPr>
        <w:t>Political Science Quarterly</w:t>
      </w:r>
      <w:r w:rsidRPr="005D411D">
        <w:t> 41, no. 3 (1926)</w:t>
      </w:r>
      <w:r>
        <w:t>, 411-12, “</w:t>
      </w:r>
      <w:r w:rsidRPr="005D411D">
        <w:t xml:space="preserve">With this conception of a religious preserve </w:t>
      </w:r>
      <w:r>
        <w:t xml:space="preserve">[an idea slightly elaborated earlier in the article] </w:t>
      </w:r>
      <w:r w:rsidRPr="005D411D">
        <w:t>the idea of self­determination would frankly be inapplicable to Palestine. The religious interests outside would frankly be recognized as more important than the wishes of the present inhabitants.  The idea of international preserves, for commercial and strategic reasons,</w:t>
      </w:r>
      <w:r>
        <w:t xml:space="preserve"> </w:t>
      </w:r>
      <w:r w:rsidRPr="005D411D">
        <w:t>as exemplified in Danzig, the Saar Valley, neutralized Switzerland, internationalized rivers, etc., is not unknown and would seem peculiarly applicable to</w:t>
      </w:r>
      <w:r>
        <w:t xml:space="preserve"> Palestine.” Wright was an important publicist and teacher of international law.  Mohn, “Jerusalem and the UN” has an echo of this as well, 452: “</w:t>
      </w:r>
      <w:r w:rsidRPr="00092780">
        <w:t>Jerusalem was therefore thought of as a testing ground and a meeting place, where Arabs and Jews would learn to work together, with the assistance of the international community. Jerusalem was envisaged as a model city, a spiritual center, a seat of learning, the influence of which would help to overcome the national and religious animosities and prejudices which for so many years have poisoned the atmosphere of the Holy Land.</w:t>
      </w:r>
      <w:r>
        <w:t>”</w:t>
      </w:r>
    </w:p>
  </w:endnote>
  <w:endnote w:id="102">
    <w:p w14:paraId="52D4D64C" w14:textId="77777777" w:rsidR="00A97A17" w:rsidRDefault="00A97A17" w:rsidP="00A97A17">
      <w:pPr>
        <w:pStyle w:val="EndnoteText"/>
      </w:pPr>
      <w:r>
        <w:rPr>
          <w:rStyle w:val="EndnoteReference"/>
        </w:rPr>
        <w:endnoteRef/>
      </w:r>
      <w:r>
        <w:t xml:space="preserve"> TC 2, Part 2, 12.  He finishes this thought with “The Working Committee had, however, provided as much self-government as possible to the inhabitants.”  Australia voices support for this general idea on 90.</w:t>
      </w:r>
    </w:p>
  </w:endnote>
  <w:endnote w:id="103">
    <w:p w14:paraId="4A2E0F01" w14:textId="77777777" w:rsidR="00A97A17" w:rsidRDefault="00A97A17" w:rsidP="00A97A17">
      <w:pPr>
        <w:pStyle w:val="EndnoteText"/>
      </w:pPr>
      <w:r>
        <w:rPr>
          <w:rStyle w:val="EndnoteReference"/>
        </w:rPr>
        <w:endnoteRef/>
      </w:r>
      <w:r>
        <w:t xml:space="preserve"> Post-WWII Strategic Trusts in the Pacific are an exception.  </w:t>
      </w:r>
      <w:r w:rsidRPr="006E40C3">
        <w:t>Ernst B. Haas</w:t>
      </w:r>
      <w:r>
        <w:t>, “</w:t>
      </w:r>
      <w:r w:rsidRPr="006E40C3">
        <w:t>The Attempt to Terminate Colonialism: Acceptance of the United Nations Trusteeship System</w:t>
      </w:r>
      <w:r>
        <w:t xml:space="preserve">,” </w:t>
      </w:r>
      <w:r w:rsidRPr="006E40C3">
        <w:rPr>
          <w:i/>
        </w:rPr>
        <w:t xml:space="preserve">International Organization, </w:t>
      </w:r>
      <w:r w:rsidRPr="006E40C3">
        <w:t>Vol. 7, No. 1 (Feb., 1953),</w:t>
      </w:r>
      <w:r>
        <w:t xml:space="preserve"> 7-10 is a contemporaneous source on the development of these.   </w:t>
      </w:r>
    </w:p>
  </w:endnote>
  <w:endnote w:id="104">
    <w:p w14:paraId="64027AB1" w14:textId="77777777" w:rsidR="00A97A17" w:rsidRDefault="00A97A17" w:rsidP="00A97A17">
      <w:pPr>
        <w:pStyle w:val="EndnoteText"/>
      </w:pPr>
      <w:r>
        <w:rPr>
          <w:rStyle w:val="EndnoteReference"/>
        </w:rPr>
        <w:endnoteRef/>
      </w:r>
      <w:r>
        <w:t xml:space="preserve"> A remarkable exception here was the Vatican.  </w:t>
      </w:r>
      <w:r w:rsidRPr="009A3C11">
        <w:t xml:space="preserve">Richard P. Stevens, “The Vatican, the Catholic Church and Jerusalem”, </w:t>
      </w:r>
      <w:r w:rsidRPr="009A3C11">
        <w:rPr>
          <w:i/>
        </w:rPr>
        <w:t>Journal of Palestine Studies,</w:t>
      </w:r>
      <w:r w:rsidRPr="009A3C11">
        <w:t xml:space="preserve"> 10, No. 3 (Spring, 1981), </w:t>
      </w:r>
      <w:r>
        <w:t xml:space="preserve">105 has: </w:t>
      </w:r>
      <w:r w:rsidRPr="00A06A63">
        <w:t xml:space="preserve">“The Vatican, on its part, continued to insist that Jlm must be internationalized much as Danzig, Memel and Trieste had been internationalized under the League of Nations.”  This </w:t>
      </w:r>
      <w:r>
        <w:t>wa</w:t>
      </w:r>
      <w:r w:rsidRPr="00A06A63">
        <w:t xml:space="preserve">s </w:t>
      </w:r>
      <w:r>
        <w:t xml:space="preserve">in </w:t>
      </w:r>
      <w:r w:rsidRPr="00A06A63">
        <w:t>1945.</w:t>
      </w:r>
      <w:r>
        <w:t xml:space="preserve">  This is particularly surprising, as all those were in Catholic-majority nations, and so the Vatican would have been conscious of the strife they created and would have taken Poland, Lithuania and Italy’s part in supporting clear sovereignty for those states.  </w:t>
      </w:r>
    </w:p>
  </w:endnote>
  <w:endnote w:id="105">
    <w:p w14:paraId="4E29D6A1" w14:textId="77777777" w:rsidR="00A97A17" w:rsidRDefault="00A97A17" w:rsidP="00A97A17">
      <w:pPr>
        <w:pStyle w:val="EndnoteText"/>
      </w:pPr>
      <w:r>
        <w:rPr>
          <w:rStyle w:val="EndnoteReference"/>
        </w:rPr>
        <w:endnoteRef/>
      </w:r>
      <w:r>
        <w:t xml:space="preserve"> Kuntz, “Trieste” is the author who takes the Statute most seriously, 106-109, and he considers the Governor very powerful, 107.  Introducing the document he says, 105: “… </w:t>
      </w:r>
      <w:r w:rsidRPr="003E402C">
        <w:t xml:space="preserve">and in spite of the inherent  difficulty of  creating so small a  territory as a separate entity, and warned, furthermore, by the fate of earlier similar experiments, the three </w:t>
      </w:r>
      <w:r>
        <w:t>W</w:t>
      </w:r>
      <w:r w:rsidRPr="003E402C">
        <w:t>est</w:t>
      </w:r>
      <w:r>
        <w:t>ern</w:t>
      </w:r>
      <w:r w:rsidRPr="003E402C">
        <w:t xml:space="preserve"> Powers tried to provide for a viable and lasting creation.</w:t>
      </w:r>
      <w:r>
        <w:t>”</w:t>
      </w:r>
    </w:p>
  </w:endnote>
  <w:endnote w:id="106">
    <w:p w14:paraId="361BC1C5" w14:textId="77777777" w:rsidR="00A97A17" w:rsidRPr="006055F9" w:rsidRDefault="00A97A17" w:rsidP="00A97A17">
      <w:pPr>
        <w:pStyle w:val="EndnoteText"/>
      </w:pPr>
      <w:r>
        <w:rPr>
          <w:rStyle w:val="EndnoteReference"/>
        </w:rPr>
        <w:endnoteRef/>
      </w:r>
      <w:r>
        <w:t xml:space="preserve"> </w:t>
      </w:r>
      <w:r>
        <w:rPr>
          <w:i/>
        </w:rPr>
        <w:t xml:space="preserve">“Statute for the City of Jerusalem” </w:t>
      </w:r>
      <w:r>
        <w:t>as it was approved by the TC 21 April 1948 is in Trusteeship Council, Annex to the Official Record of the Third Part of the Second Session, 5-24.  The main difference is that they tried to cover more contingencies in Jerusalem.  The 1950 version of the Statute is longer, at 25 pages, and even more specific.</w:t>
      </w:r>
    </w:p>
  </w:endnote>
  <w:endnote w:id="107">
    <w:p w14:paraId="61E56FE4" w14:textId="77777777" w:rsidR="00A97A17" w:rsidRDefault="00A97A17" w:rsidP="00A97A17">
      <w:pPr>
        <w:pStyle w:val="EndnoteText"/>
      </w:pPr>
      <w:r>
        <w:rPr>
          <w:rStyle w:val="EndnoteReference"/>
        </w:rPr>
        <w:endnoteRef/>
      </w:r>
      <w:r>
        <w:t xml:space="preserve"> TC 2, Part 2, 123.</w:t>
      </w:r>
    </w:p>
  </w:endnote>
  <w:endnote w:id="108">
    <w:p w14:paraId="3A02690D" w14:textId="77777777" w:rsidR="00A97A17" w:rsidRDefault="00A97A17" w:rsidP="00A97A17">
      <w:pPr>
        <w:pStyle w:val="EndnoteText"/>
      </w:pPr>
      <w:r>
        <w:rPr>
          <w:rStyle w:val="EndnoteReference"/>
        </w:rPr>
        <w:endnoteRef/>
      </w:r>
      <w:r>
        <w:t xml:space="preserve"> TC 2. Part 2, 177 for the vote, 180 for the Philippines marking it as provisional.  Mohn, “Jerusalem and the UN”, 453 goes into more detail about this.  Abba Eban, </w:t>
      </w:r>
      <w:r w:rsidRPr="00A12E9E">
        <w:t xml:space="preserve"> </w:t>
      </w:r>
      <w:r w:rsidRPr="00A12E9E">
        <w:rPr>
          <w:i/>
        </w:rPr>
        <w:t xml:space="preserve">Personal Witness: Israel Through My Eyes, </w:t>
      </w:r>
      <w:r>
        <w:t>(</w:t>
      </w:r>
      <w:r w:rsidRPr="00A12E9E">
        <w:t>NY, NY: G.P. Putnam’s Sons, 1992</w:t>
      </w:r>
      <w:r>
        <w:t xml:space="preserve">), 205 has a different spin, and credits the French with helping Israel make certain it wasn’t ratified.  </w:t>
      </w:r>
    </w:p>
  </w:endnote>
  <w:endnote w:id="109">
    <w:p w14:paraId="0984EECB" w14:textId="77777777" w:rsidR="00A97A17" w:rsidRDefault="00A97A17" w:rsidP="00A97A17">
      <w:pPr>
        <w:pStyle w:val="EndnoteText"/>
      </w:pPr>
      <w:r>
        <w:rPr>
          <w:rStyle w:val="EndnoteReference"/>
        </w:rPr>
        <w:endnoteRef/>
      </w:r>
      <w:r>
        <w:t xml:space="preserve"> TC 2, Part 2, 187 “He had, however, some doubts regarding the allusion in the first paragraph to GA resolution 181 (II) as the latter resolution did not seem to have received favorable consideration from all the elements of the Jerusalem population.  The third paragraph of the preamble referred to the Council’s “constant care to assure peace and prosperity”; under present conditions, however, the Council scarcely had the authority to assure anything in the City of Jerusalem.”  </w:t>
      </w:r>
    </w:p>
  </w:endnote>
  <w:endnote w:id="110">
    <w:p w14:paraId="4BC997C5" w14:textId="77777777" w:rsidR="00A97A17" w:rsidRPr="00600336" w:rsidRDefault="00A97A17" w:rsidP="00A97A17">
      <w:pPr>
        <w:pStyle w:val="EndnoteText"/>
      </w:pPr>
      <w:r>
        <w:rPr>
          <w:rStyle w:val="EndnoteReference"/>
        </w:rPr>
        <w:endnoteRef/>
      </w:r>
      <w:r>
        <w:t xml:space="preserve"> Graves, </w:t>
      </w:r>
      <w:r>
        <w:rPr>
          <w:i/>
        </w:rPr>
        <w:t xml:space="preserve">Anarchy, </w:t>
      </w:r>
      <w:r>
        <w:t>132 has this from late January, 1948: “</w:t>
      </w:r>
      <w:r w:rsidRPr="00600336">
        <w:t>The news from UNO is most unsatisfactory. There is no likelihood that an international force will be sent to implement partition, which means that the contestants who are supposed to have had their cause settled in a court of law will be left to fight it out.</w:t>
      </w:r>
    </w:p>
    <w:p w14:paraId="0FD038FC" w14:textId="77777777" w:rsidR="00A97A17" w:rsidRPr="00737F03" w:rsidRDefault="00A97A17" w:rsidP="00A97A17">
      <w:pPr>
        <w:pStyle w:val="EndnoteText"/>
        <w:rPr>
          <w:i/>
        </w:rPr>
      </w:pPr>
      <w:r w:rsidRPr="00600336">
        <w:t>The failure of UNO to validate its decision and the immorality of the U.S.A., who lobbied their way into securing a two-thirds majority for partition and now refuse to do anything practical to enforce it, are comparable with the defeatist attitude of Britain. In fact, they are almost worse.</w:t>
      </w:r>
      <w:r>
        <w:t>”</w:t>
      </w:r>
      <w:r>
        <w:rPr>
          <w:i/>
        </w:rPr>
        <w:t xml:space="preserve"> </w:t>
      </w:r>
    </w:p>
  </w:endnote>
  <w:endnote w:id="111">
    <w:p w14:paraId="4226DBE9" w14:textId="77777777" w:rsidR="00A97A17" w:rsidRDefault="00A97A17" w:rsidP="00A97A17">
      <w:pPr>
        <w:pStyle w:val="EndnoteText"/>
      </w:pPr>
      <w:r>
        <w:rPr>
          <w:rStyle w:val="EndnoteReference"/>
        </w:rPr>
        <w:endnoteRef/>
      </w:r>
      <w:r>
        <w:t xml:space="preserve"> These are T/144, “Provisional Instructions of the Trusteeship Council to the Governor of the City of Jerusalem”, 9 March 1948 and T/145, “Supplementary Rules of Procedure for the Trusteeship Council When Concerned with the Affairs of the City of Jerusalem”, 8 March 1948.</w:t>
      </w:r>
    </w:p>
  </w:endnote>
  <w:endnote w:id="112">
    <w:p w14:paraId="67CF549B" w14:textId="77777777" w:rsidR="00A97A17" w:rsidRDefault="00A97A17" w:rsidP="00A97A17">
      <w:pPr>
        <w:pStyle w:val="EndnoteText"/>
      </w:pPr>
      <w:r>
        <w:rPr>
          <w:rStyle w:val="EndnoteReference"/>
        </w:rPr>
        <w:endnoteRef/>
      </w:r>
      <w:r>
        <w:t xml:space="preserve"> Quote is T/145 p 6, Section IX, Rule 14, the right to appear is in p 6, IX, Rule 18, 2.</w:t>
      </w:r>
    </w:p>
  </w:endnote>
  <w:endnote w:id="113">
    <w:p w14:paraId="17EDABC8" w14:textId="77777777" w:rsidR="00A97A17" w:rsidRDefault="00A97A17" w:rsidP="00A97A17">
      <w:pPr>
        <w:pStyle w:val="EndnoteText"/>
      </w:pPr>
      <w:r>
        <w:rPr>
          <w:rStyle w:val="EndnoteReference"/>
        </w:rPr>
        <w:endnoteRef/>
      </w:r>
      <w:r>
        <w:t xml:space="preserve"> GA resolution 185 (S-2).</w:t>
      </w:r>
    </w:p>
  </w:endnote>
  <w:endnote w:id="114">
    <w:p w14:paraId="13E3D999" w14:textId="77777777" w:rsidR="00A97A17" w:rsidRDefault="00A97A17" w:rsidP="00A97A17">
      <w:pPr>
        <w:pStyle w:val="EndnoteText"/>
      </w:pPr>
      <w:r>
        <w:rPr>
          <w:rStyle w:val="EndnoteReference"/>
        </w:rPr>
        <w:endnoteRef/>
      </w:r>
      <w:r>
        <w:t xml:space="preserve"> Most of the nations active in the discussions agree to this: UK: 93; Belgium: 14, 95; US, 38, 41; France: 46, 49, on 97 is </w:t>
      </w:r>
      <w:r w:rsidRPr="006E65F1">
        <w:t xml:space="preserve">“The assumption that a commissioner would be able to maintain order in </w:t>
      </w:r>
      <w:r>
        <w:t>Jerusalem</w:t>
      </w:r>
      <w:r w:rsidRPr="006E65F1">
        <w:t xml:space="preserve"> while armies were fighting there could not be taken seriously.”</w:t>
      </w:r>
      <w:r>
        <w:t>; Mexico, 14, 90; Arab High Command: 25, 47; Jewish Agency: 25, 48.</w:t>
      </w:r>
    </w:p>
  </w:endnote>
  <w:endnote w:id="115">
    <w:p w14:paraId="271F7011" w14:textId="77777777" w:rsidR="00A97A17" w:rsidRDefault="00A97A17" w:rsidP="00A97A17">
      <w:pPr>
        <w:pStyle w:val="EndnoteText"/>
      </w:pPr>
      <w:r>
        <w:rPr>
          <w:rStyle w:val="EndnoteReference"/>
        </w:rPr>
        <w:endnoteRef/>
      </w:r>
      <w:r>
        <w:t xml:space="preserve"> Most of the countries were willing to say that the Council’s efforts failed.  Belgium 128, 107 has </w:t>
      </w:r>
      <w:r w:rsidRPr="00B92BA1">
        <w:t>“The TC, like the proverbial mountain, had labored and brought forth a mouse; but in the US text even the mouse was gone.”</w:t>
      </w:r>
      <w:r>
        <w:t xml:space="preserve">; France: 95, 99; New Zealand: 65, 87, 105 has </w:t>
      </w:r>
      <w:r w:rsidRPr="00B92BA1">
        <w:t>, “Mr. Reid found the report quite inadequate, an insult to the people of Palestine and to the world, which was looking to the UN for a solution.”</w:t>
      </w:r>
      <w:r>
        <w:t xml:space="preserve">; UK: 99 has </w:t>
      </w:r>
      <w:r w:rsidRPr="00B92BA1">
        <w:t>“The TC should either face the fact that some other way to obtain security must be found, or else report to the GA that it had failed to find a way.”</w:t>
      </w:r>
      <w:r>
        <w:t>; US: 94.  Ralph Bunche wrote a proposal for the report to send to the GA and it included a list of the things that had not gotten done on 103, point 5.  These include “…such questions as security, the devolution of the authority and assets of the Mandatory Power on the termination of the Mandate, the maintenance of law and order, the protection of the Holy Places, water supply and food, and a truce, in so far as they affect the municipality of Jerusalem…”  This list covers anything of consequence.</w:t>
      </w:r>
    </w:p>
  </w:endnote>
  <w:endnote w:id="116">
    <w:p w14:paraId="7C1AF977" w14:textId="77777777" w:rsidR="00A97A17" w:rsidRDefault="00A97A17" w:rsidP="00A97A17">
      <w:pPr>
        <w:pStyle w:val="EndnoteText"/>
      </w:pPr>
      <w:r>
        <w:rPr>
          <w:rStyle w:val="EndnoteReference"/>
        </w:rPr>
        <w:endnoteRef/>
      </w:r>
      <w:r>
        <w:t xml:space="preserve"> Jewish Agency: 67; UK: 128; France: 66, 95, 119, 128.</w:t>
      </w:r>
    </w:p>
  </w:endnote>
  <w:endnote w:id="117">
    <w:p w14:paraId="31E13A66" w14:textId="77777777" w:rsidR="00A97A17" w:rsidRDefault="00A97A17" w:rsidP="00A97A17">
      <w:pPr>
        <w:pStyle w:val="EndnoteText"/>
      </w:pPr>
      <w:r>
        <w:rPr>
          <w:rStyle w:val="EndnoteReference"/>
        </w:rPr>
        <w:endnoteRef/>
      </w:r>
      <w:r>
        <w:t xml:space="preserve"> Belgium: 62; France: 15; Arab High Command: 19, 24; Jewish Agency: 18, 33. </w:t>
      </w:r>
    </w:p>
  </w:endnote>
  <w:endnote w:id="118">
    <w:p w14:paraId="288A31C0" w14:textId="77777777" w:rsidR="00A97A17" w:rsidRDefault="00A97A17" w:rsidP="00A97A17">
      <w:pPr>
        <w:pStyle w:val="EndnoteText"/>
      </w:pPr>
      <w:r>
        <w:rPr>
          <w:rStyle w:val="EndnoteReference"/>
        </w:rPr>
        <w:endnoteRef/>
      </w:r>
      <w:r>
        <w:t xml:space="preserve"> Mohn, “Jerusalem and the UN”, 458.</w:t>
      </w:r>
    </w:p>
  </w:endnote>
  <w:endnote w:id="119">
    <w:p w14:paraId="58A34C4B" w14:textId="77777777" w:rsidR="00A97A17" w:rsidRDefault="00A97A17" w:rsidP="00A97A17">
      <w:pPr>
        <w:pStyle w:val="EndnoteText"/>
      </w:pPr>
      <w:r>
        <w:rPr>
          <w:rStyle w:val="EndnoteReference"/>
        </w:rPr>
        <w:endnoteRef/>
      </w:r>
      <w:r>
        <w:t xml:space="preserve"> </w:t>
      </w:r>
      <w:r w:rsidRPr="00173581">
        <w:t>Pablo de</w:t>
      </w:r>
      <w:r>
        <w:t xml:space="preserve"> </w:t>
      </w:r>
      <w:r w:rsidRPr="00173581">
        <w:t xml:space="preserve">Azcarate, </w:t>
      </w:r>
      <w:r w:rsidRPr="00173581">
        <w:rPr>
          <w:i/>
          <w:iCs/>
        </w:rPr>
        <w:t xml:space="preserve">Mission in Palestine: 1948-1952, </w:t>
      </w:r>
      <w:r w:rsidRPr="00173581">
        <w:t xml:space="preserve">translated by Teener Hall, </w:t>
      </w:r>
      <w:r>
        <w:t>(</w:t>
      </w:r>
      <w:r w:rsidRPr="00173581">
        <w:t>The Middle East Institute: Washington, D. C. 1966</w:t>
      </w:r>
      <w:r>
        <w:t>),</w:t>
      </w:r>
      <w:r w:rsidRPr="00173581">
        <w:t xml:space="preserve"> </w:t>
      </w:r>
      <w:r>
        <w:t>f</w:t>
      </w:r>
      <w:r w:rsidRPr="00173581">
        <w:t>irst published in Spanish in 1953.</w:t>
      </w:r>
      <w:r>
        <w:t xml:space="preserve">  The first reference is 35: </w:t>
      </w:r>
      <w:r w:rsidRPr="00173581">
        <w:t>“…both the appointment of a Commissioner and his mission to “carry out the functions hitherto performed by the Municipal Commission” were not far from having the appearance of a cruel farce.”</w:t>
      </w:r>
      <w:r>
        <w:t xml:space="preserve">  He strengthens it in the second instance by including others, 49, </w:t>
      </w:r>
      <w:r w:rsidRPr="00173581">
        <w:t>“Before going on to describe the events arising out of this episode, I should like to mention the impression that these decisions by the Assembly made on all of us in J</w:t>
      </w:r>
      <w:r>
        <w:t>erusa</w:t>
      </w:r>
      <w:r w:rsidRPr="00173581">
        <w:t>l</w:t>
      </w:r>
      <w:r>
        <w:t>e</w:t>
      </w:r>
      <w:r w:rsidRPr="00173581">
        <w:t>m.  As I have said elsewhere, they seemed almost a cruel farce and the expression does not appear to me exaggerated.”</w:t>
      </w:r>
      <w:r>
        <w:t xml:space="preserve">  While the few historians who mention Evans always seem to mention his Quaker religion, apparently as evidence of his even-handedness, Azcarate notes that it makes him useless, as he had decided that if he were to get to Jerusalem, he would refuse an armed escort, an impossible situation for a diplomat moving around the city at the time, 50.  When they finally met in Cairo, Azcarate finds him </w:t>
      </w:r>
      <w:r w:rsidRPr="00CE545B">
        <w:t>“…more preoccupied with the possibilities of his role in Jerusalem as a Quaker than as Municipal Commissioner.”</w:t>
      </w:r>
      <w:r>
        <w:t>63.  His general section on the problem of Jerusalem is 181-88.</w:t>
      </w:r>
    </w:p>
  </w:endnote>
  <w:endnote w:id="120">
    <w:p w14:paraId="0BB2C645" w14:textId="77777777" w:rsidR="00A97A17" w:rsidRDefault="00A97A17" w:rsidP="00A97A17">
      <w:pPr>
        <w:pStyle w:val="EndnoteText"/>
      </w:pPr>
      <w:r>
        <w:rPr>
          <w:rStyle w:val="EndnoteReference"/>
        </w:rPr>
        <w:endnoteRef/>
      </w:r>
      <w:r>
        <w:t xml:space="preserve"> New Zealand says it on 111: </w:t>
      </w:r>
      <w:r w:rsidRPr="00C00196">
        <w:t>“Even the Council’s achievements were not achievements on which the GA was being asked to take action.  A truce was being discussed, but not with the UN.  Civic functions were being settled, but not by the UN.  So far as the UN was concerned, there was nothing further to be done.”</w:t>
      </w:r>
      <w:r>
        <w:t xml:space="preserve">  The TC did send a report on its activities to the GA, A/544 of 5 May 1948.  While not so aggressive in its admission of failure as the Bunche draft, it is clear that they are admitting that they got nothing done.</w:t>
      </w:r>
    </w:p>
  </w:endnote>
  <w:endnote w:id="121">
    <w:p w14:paraId="646D038E" w14:textId="77777777" w:rsidR="00A97A17" w:rsidRDefault="00A97A17" w:rsidP="00A97A17">
      <w:pPr>
        <w:pStyle w:val="EndnoteText"/>
      </w:pPr>
      <w:r>
        <w:rPr>
          <w:rStyle w:val="EndnoteReference"/>
        </w:rPr>
        <w:endnoteRef/>
      </w:r>
      <w:r>
        <w:t xml:space="preserve"> Jewish Agency: 72, 93; France also speaks for it: 3; Australia speaks for it, 110 and wanted it noted in the report to the GA that the Agency had asked for this.</w:t>
      </w:r>
    </w:p>
  </w:endnote>
  <w:endnote w:id="122">
    <w:p w14:paraId="452E4B28" w14:textId="77777777" w:rsidR="00A97A17" w:rsidRPr="00600336" w:rsidRDefault="00A97A17" w:rsidP="00A97A17">
      <w:pPr>
        <w:pStyle w:val="EndnoteText"/>
      </w:pPr>
      <w:r>
        <w:rPr>
          <w:rStyle w:val="EndnoteReference"/>
        </w:rPr>
        <w:endnoteRef/>
      </w:r>
      <w:r>
        <w:t xml:space="preserve"> This period is told in Mohn, “Jerusalem and the UN”, 467-71.  Benjamin Shwadran, “Jerusalem Again”, </w:t>
      </w:r>
      <w:r>
        <w:rPr>
          <w:i/>
        </w:rPr>
        <w:t xml:space="preserve">Middle Eastern Affairs, </w:t>
      </w:r>
      <w:r>
        <w:t xml:space="preserve">(Dec, 1950), 357-364 covers the 1949-50 maneuvers.  UN yearbook 1948-49 tells the story on 190-98 and UN Yearbook 1950 on 335-41.  It is a remarkably similar tale.  “United Nations on Jerusalem”, </w:t>
      </w:r>
      <w:r>
        <w:rPr>
          <w:i/>
        </w:rPr>
        <w:t xml:space="preserve">Middle Eastern Affairs, </w:t>
      </w:r>
      <w:r>
        <w:t xml:space="preserve">(Aug-Sept, 1950), 233-247 has three documents: the Resolution of the TC of 14 June, 1950, a report by the President of the TC, Roger Garreau, and the responses of the Israeli government.  </w:t>
      </w:r>
    </w:p>
  </w:endnote>
  <w:endnote w:id="123">
    <w:p w14:paraId="1C061EF1" w14:textId="77777777" w:rsidR="00A97A17" w:rsidRPr="007C413E" w:rsidRDefault="00A97A17" w:rsidP="00A97A17">
      <w:pPr>
        <w:pStyle w:val="EndnoteText"/>
      </w:pPr>
      <w:r>
        <w:rPr>
          <w:rStyle w:val="EndnoteReference"/>
        </w:rPr>
        <w:endnoteRef/>
      </w:r>
      <w:r>
        <w:t xml:space="preserve"> Slonim, “Israeli Policy” 592.  He argues that the UN’s reaffirmation of the necessity of internationalizing the city pushed them to do this.  This would be in line with Ilan, </w:t>
      </w:r>
      <w:r>
        <w:rPr>
          <w:i/>
        </w:rPr>
        <w:t xml:space="preserve">Bernadotte, </w:t>
      </w:r>
      <w:r>
        <w:t xml:space="preserve">in which he argues that the importance of the mediator’s two plans was in forcing the actors to change their plans in reaction.  It was made the capital 23 January 1950. </w:t>
      </w:r>
    </w:p>
  </w:endnote>
  <w:endnote w:id="124">
    <w:p w14:paraId="31DDBC1F" w14:textId="77777777" w:rsidR="00A97A17" w:rsidRPr="009A1D0F" w:rsidRDefault="00A97A17" w:rsidP="00A97A17">
      <w:pPr>
        <w:pStyle w:val="EndnoteText"/>
        <w:rPr>
          <w:i/>
          <w:iCs/>
        </w:rPr>
      </w:pPr>
      <w:r>
        <w:rPr>
          <w:rStyle w:val="EndnoteReference"/>
        </w:rPr>
        <w:endnoteRef/>
      </w:r>
      <w:r>
        <w:t xml:space="preserve"> Jordan wasn’t yet a member of the UN, but was clear that there would be no internationalization.  L. Larry Leonard, “The UN and Palestine,” </w:t>
      </w:r>
      <w:r>
        <w:rPr>
          <w:i/>
          <w:iCs/>
        </w:rPr>
        <w:t xml:space="preserve">International Conciliation </w:t>
      </w:r>
      <w:r>
        <w:t>27, 736 quotes King Abdullah as saying the Jerusalem “would be internationalized over my dead body.”</w:t>
      </w:r>
      <w:r>
        <w:rPr>
          <w:i/>
          <w:iCs/>
        </w:rPr>
        <w:t xml:space="preserve"> </w:t>
      </w:r>
    </w:p>
  </w:endnote>
  <w:endnote w:id="125">
    <w:p w14:paraId="2286D06C" w14:textId="77777777" w:rsidR="00A97A17" w:rsidRDefault="00A97A17" w:rsidP="00A97A17">
      <w:pPr>
        <w:pStyle w:val="EndnoteText"/>
      </w:pPr>
      <w:r>
        <w:rPr>
          <w:rStyle w:val="EndnoteReference"/>
        </w:rPr>
        <w:endnoteRef/>
      </w:r>
      <w:r>
        <w:t xml:space="preserve"> Mohn, “Jerusalem and the UN”, 467.  An overview of the plan is the next page.  Rackauskas, “The Jerusalem Problem” 106, also has an summary.</w:t>
      </w:r>
    </w:p>
  </w:endnote>
  <w:endnote w:id="126">
    <w:p w14:paraId="28F68CF0" w14:textId="77777777" w:rsidR="00A97A17" w:rsidRDefault="00A97A17" w:rsidP="00A97A17">
      <w:pPr>
        <w:pStyle w:val="EndnoteText"/>
      </w:pPr>
      <w:r>
        <w:rPr>
          <w:rStyle w:val="EndnoteReference"/>
        </w:rPr>
        <w:endnoteRef/>
      </w:r>
      <w:r>
        <w:t xml:space="preserve"> McDonald, </w:t>
      </w:r>
      <w:r>
        <w:rPr>
          <w:i/>
        </w:rPr>
        <w:t xml:space="preserve">My Mission, </w:t>
      </w:r>
      <w:r>
        <w:t xml:space="preserve">comments on this, as he met with both the Pope and senior Vatican officials on the subject.  See </w:t>
      </w:r>
      <w:r w:rsidRPr="009763EF">
        <w:t>29, 35, 190,</w:t>
      </w:r>
      <w:r>
        <w:t xml:space="preserve"> which is on the Vatican’s rejection of the PCC plan,</w:t>
      </w:r>
      <w:r w:rsidRPr="009763EF">
        <w:t xml:space="preserve"> 205</w:t>
      </w:r>
      <w:r>
        <w:t>,</w:t>
      </w:r>
      <w:r w:rsidRPr="009763EF">
        <w:t xml:space="preserve"> 210, </w:t>
      </w:r>
      <w:r>
        <w:t xml:space="preserve">and </w:t>
      </w:r>
      <w:r w:rsidRPr="009763EF">
        <w:t>219</w:t>
      </w:r>
      <w:r>
        <w:t>.  Berger, “Jerusalem”, 386-7 gives a list of recent Papal documents and rulings on Jerusalem.  For Berger, it wasn’t enough for the UN to rule the city, as there were too many Catholic nations who weren’t members of the UN.  Thus, he writes on 383 of the draft Statute of the TC “…</w:t>
      </w:r>
      <w:r w:rsidRPr="00AF1F70">
        <w:t>under the prevailing circumstances a grave injustice against the Catholics is involved in it.</w:t>
      </w:r>
      <w:r>
        <w:t xml:space="preserve">”  On the next page, he makes the case for broader international control.  </w:t>
      </w:r>
    </w:p>
    <w:p w14:paraId="15899487" w14:textId="77777777" w:rsidR="00A97A17" w:rsidRPr="006D4D47" w:rsidRDefault="00A97A17" w:rsidP="00A97A17">
      <w:pPr>
        <w:pStyle w:val="EndnoteText"/>
      </w:pPr>
      <w:r>
        <w:t xml:space="preserve">Bernadotte, </w:t>
      </w:r>
      <w:r>
        <w:rPr>
          <w:i/>
        </w:rPr>
        <w:t xml:space="preserve">To Jerusalem, </w:t>
      </w:r>
      <w:r>
        <w:t>12, tells an interesting story.  On his way to the Middle East, Bernadotte stopped in Paris on May 26 and spoke with French Prime Minister Georges Bidault to feel out his opinions.  Bernadotte must have already had the idea of giving the city to Jordan, which he put in his first plan, so he asked how that might go over.  Bidault, representing an officially secular state, was unequivocal in opposing it, declaring “</w:t>
      </w:r>
      <w:r w:rsidRPr="003E7A3C">
        <w:t>It would mean, in his opinion, that the whole of the Christian world would join in a new crusade.”</w:t>
      </w:r>
    </w:p>
  </w:endnote>
  <w:endnote w:id="127">
    <w:p w14:paraId="5A13C181" w14:textId="77777777" w:rsidR="00A97A17" w:rsidRDefault="00A97A17" w:rsidP="00A97A17">
      <w:pPr>
        <w:pStyle w:val="EndnoteText"/>
      </w:pPr>
      <w:r>
        <w:rPr>
          <w:rStyle w:val="EndnoteReference"/>
        </w:rPr>
        <w:endnoteRef/>
      </w:r>
      <w:r>
        <w:t xml:space="preserve"> The 1950 UN Yearbook, 335, has “</w:t>
      </w:r>
      <w:r w:rsidRPr="00B85829">
        <w:t>The representatives of Egypt, Iraq and Syria stated that the whole objective of the General Assembly had been that there should be one place in the world where all men might lead a spiritual life, free from all</w:t>
      </w:r>
      <w:r>
        <w:t xml:space="preserve"> forms of politics.” This was and remains hilarious.</w:t>
      </w:r>
    </w:p>
  </w:endnote>
  <w:endnote w:id="128">
    <w:p w14:paraId="42F35020" w14:textId="77777777" w:rsidR="00A97A17" w:rsidRDefault="00A97A17" w:rsidP="00A97A17">
      <w:pPr>
        <w:pStyle w:val="EndnoteText"/>
      </w:pPr>
      <w:r>
        <w:rPr>
          <w:rStyle w:val="EndnoteReference"/>
        </w:rPr>
        <w:endnoteRef/>
      </w:r>
      <w:r>
        <w:t xml:space="preserve"> Shwadran, “Jerusalem Again”, 357, fn 1, has this quote from the US representative, 5 December 1949, on the Belgian resolution: </w:t>
      </w:r>
      <w:r w:rsidRPr="00BB14E1">
        <w:t>"I regret to have to say that the sub-committee's draft resolution deceives world opinion, particularly Arab and Christian opinion, for it has the appearance of complete internationalization but it offers no assurance whatsoever that any internationalization will be achieved. We do not believe that the United Nations should make a decision knowing in advance, that it is not</w:t>
      </w:r>
      <w:r>
        <w:t xml:space="preserve"> </w:t>
      </w:r>
      <w:r w:rsidRPr="00BB14E1">
        <w:t>practicable to carry it out. World opinion looks to us not to make irresponsible and fruitless decisions, but to work out reasonable solutions for the problem</w:t>
      </w:r>
      <w:r>
        <w:t>s</w:t>
      </w:r>
      <w:r w:rsidRPr="00BB14E1">
        <w:t xml:space="preserve"> which confront us. If the General Assembly acts otherwise it will be violating the trust given to it by the world. The question is not whether we shall have an international regime for Jerusalem. The question is rather whether we shall establish an international regime which will adequately protect the interests of the international community, particularly the religious interests, and which will at the same time</w:t>
      </w:r>
      <w:r>
        <w:t xml:space="preserve"> be effective.”  McDonald, </w:t>
      </w:r>
      <w:r>
        <w:rPr>
          <w:i/>
        </w:rPr>
        <w:t>My Mission,</w:t>
      </w:r>
      <w:r>
        <w:t xml:space="preserve"> 53, says that he wrote to the Israeli government to say that the city didn’t need to be internationalized if Israel and Jordan could agree to a plan that would ensure that the Holy Places could be accessed by all.  </w:t>
      </w:r>
    </w:p>
  </w:endnote>
  <w:endnote w:id="129">
    <w:p w14:paraId="0B55A270" w14:textId="77777777" w:rsidR="00A97A17" w:rsidRDefault="00A97A17" w:rsidP="00A97A17">
      <w:pPr>
        <w:pStyle w:val="EndnoteText"/>
      </w:pPr>
      <w:r>
        <w:rPr>
          <w:rStyle w:val="EndnoteReference"/>
        </w:rPr>
        <w:endnoteRef/>
      </w:r>
      <w:r>
        <w:t xml:space="preserve"> Shwadran, “Jerusalem Again”, 364.  Likewise the quote at the end of the paragraph.</w:t>
      </w:r>
    </w:p>
  </w:endnote>
  <w:endnote w:id="130">
    <w:p w14:paraId="6F4548C0" w14:textId="77777777" w:rsidR="00A97A17" w:rsidRPr="00EB00AF" w:rsidRDefault="00A97A17" w:rsidP="00A97A17">
      <w:pPr>
        <w:pStyle w:val="EndnoteText"/>
      </w:pPr>
      <w:r>
        <w:rPr>
          <w:rStyle w:val="EndnoteReference"/>
        </w:rPr>
        <w:endnoteRef/>
      </w:r>
      <w:r>
        <w:t xml:space="preserve"> Mohn, “Jerusalem and the UN”, 464.  465 for his ideas on internationalization in the final plan.  Bernadotte’s right hand man, Ralph Bunch, agreed.  </w:t>
      </w:r>
      <w:r w:rsidRPr="00A70B56">
        <w:t xml:space="preserve">Urquhart, </w:t>
      </w:r>
      <w:r w:rsidRPr="00A70B56">
        <w:rPr>
          <w:i/>
        </w:rPr>
        <w:t xml:space="preserve">Ralph Bunche, </w:t>
      </w:r>
      <w:r>
        <w:t xml:space="preserve">164 has </w:t>
      </w:r>
      <w:r w:rsidRPr="00A70B56">
        <w:t xml:space="preserve">“This last suggestion [that </w:t>
      </w:r>
      <w:r>
        <w:t>Jerusalem</w:t>
      </w:r>
      <w:r w:rsidRPr="00A70B56">
        <w:t xml:space="preserve"> be an Arab city with J</w:t>
      </w:r>
      <w:r>
        <w:t>ewish</w:t>
      </w:r>
      <w:r w:rsidRPr="00A70B56">
        <w:t xml:space="preserve"> community having some municipal autonomy, this is the first plan] was a particularly explosive issuer with the Jewish side.  Bernadotte and Bunche’s thinking was influenced by the fact that the dominant international crisis of the summer of 1948 was the blockade by the Soviet Union of the Western Sectors of Berlin- a vivid example of the problems of a divided city set in a hostile environment.  Bunche and Reedman both felt strongly that an international regime for </w:t>
      </w:r>
      <w:r>
        <w:t>Jerusalem</w:t>
      </w:r>
      <w:r w:rsidRPr="00A70B56">
        <w:t xml:space="preserve"> wouldn’t work.  Unlike Berlin, there were no sectors, nor were there forces to guarantee the arrangement, and the Jews were only in a small part of </w:t>
      </w:r>
      <w:r>
        <w:t>Jerusalem</w:t>
      </w:r>
      <w:r w:rsidRPr="00A70B56">
        <w:t>. And in a very tenuous position.”</w:t>
      </w:r>
      <w:r>
        <w:t xml:space="preserve">  Bernadotte, </w:t>
      </w:r>
      <w:r>
        <w:rPr>
          <w:i/>
        </w:rPr>
        <w:t xml:space="preserve">To Jerusalem, </w:t>
      </w:r>
      <w:r>
        <w:t xml:space="preserve">152 has </w:t>
      </w:r>
      <w:r w:rsidRPr="00CA5293">
        <w:t>“</w:t>
      </w:r>
      <w:r>
        <w:t>Jerusalem</w:t>
      </w:r>
      <w:r w:rsidRPr="00CA5293">
        <w:t xml:space="preserve"> would be surrounded by territory completely controlled by the Arabs.  It is undesirable-or so I felt at the time-to set up an international zone-in this case the Arab-inside any given State or zone.  Many examples might be quoted of similar experiments that have turned out badly.</w:t>
      </w:r>
      <w:r>
        <w:t>”</w:t>
      </w:r>
      <w:r w:rsidRPr="00CA5293">
        <w:t xml:space="preserve">  </w:t>
      </w:r>
      <w:r>
        <w:t>This is early July, so it was no longer the case that the city was surrounded by Arab territory.  He also notes that he thinks an internationalized Jerusalem will be a problem on 190.</w:t>
      </w:r>
    </w:p>
  </w:endnote>
  <w:endnote w:id="131">
    <w:p w14:paraId="5004D214" w14:textId="77777777" w:rsidR="00A97A17" w:rsidRDefault="00A97A17" w:rsidP="00A97A17">
      <w:pPr>
        <w:pStyle w:val="EndnoteText"/>
      </w:pPr>
      <w:r>
        <w:rPr>
          <w:rStyle w:val="EndnoteReference"/>
        </w:rPr>
        <w:endnoteRef/>
      </w:r>
      <w:r>
        <w:t xml:space="preserve"> Mohn, “Jerusalem and the UN”, 469.  He continues: “</w:t>
      </w:r>
      <w:r w:rsidRPr="003071B3">
        <w:t>The warnings of more reflective delegations primarily concerned by the absence of any means of implementation as well as by Israel's and Hashemite Jordan's openly declared opposition were brushed aside.</w:t>
      </w:r>
      <w:r>
        <w:t>”</w:t>
      </w:r>
    </w:p>
  </w:endnote>
  <w:endnote w:id="132">
    <w:p w14:paraId="63FC2B7F" w14:textId="77777777" w:rsidR="00A97A17" w:rsidRDefault="00A97A17" w:rsidP="00A97A17">
      <w:pPr>
        <w:pStyle w:val="EndnoteText"/>
      </w:pPr>
      <w:r>
        <w:rPr>
          <w:rStyle w:val="EndnoteReference"/>
        </w:rPr>
        <w:endnoteRef/>
      </w:r>
      <w:r>
        <w:t xml:space="preserve"> Mohn, “Jerusalem at the UN” 470.  1950 UN yearbook, 335, has a summary of the Garreau plan.  The discussions on it continue till 337.</w:t>
      </w:r>
    </w:p>
  </w:endnote>
  <w:endnote w:id="133">
    <w:p w14:paraId="5C1D85FF" w14:textId="77777777" w:rsidR="00A97A17" w:rsidRPr="00E539F9" w:rsidRDefault="00A97A17" w:rsidP="00A97A17">
      <w:pPr>
        <w:pStyle w:val="EndnoteText"/>
      </w:pPr>
      <w:r>
        <w:rPr>
          <w:rStyle w:val="EndnoteReference"/>
        </w:rPr>
        <w:endnoteRef/>
      </w:r>
      <w:r>
        <w:t xml:space="preserve"> McDonald, </w:t>
      </w:r>
      <w:r>
        <w:rPr>
          <w:i/>
        </w:rPr>
        <w:t xml:space="preserve">My Mission, </w:t>
      </w:r>
      <w:r>
        <w:t>211. Chapter XVIII, 204-216 is about Jerusalem.</w:t>
      </w:r>
    </w:p>
  </w:endnote>
  <w:endnote w:id="134">
    <w:p w14:paraId="73AA5FD3" w14:textId="77777777" w:rsidR="00A97A17" w:rsidRPr="001566F5" w:rsidRDefault="00A97A17" w:rsidP="00A97A17">
      <w:pPr>
        <w:pStyle w:val="EndnoteText"/>
      </w:pPr>
      <w:r>
        <w:rPr>
          <w:rStyle w:val="EndnoteReference"/>
        </w:rPr>
        <w:endnoteRef/>
      </w:r>
      <w:r>
        <w:t xml:space="preserve"> Graves, </w:t>
      </w:r>
      <w:r>
        <w:rPr>
          <w:i/>
        </w:rPr>
        <w:t xml:space="preserve">Anarchy, </w:t>
      </w:r>
      <w:r>
        <w:t xml:space="preserve">212 for the quote, 80 for his judgment.  </w:t>
      </w:r>
    </w:p>
  </w:endnote>
  <w:endnote w:id="135">
    <w:p w14:paraId="6A2B19D6" w14:textId="77777777" w:rsidR="00A97A17" w:rsidRPr="00C020F7" w:rsidRDefault="00A97A17" w:rsidP="00A97A17">
      <w:pPr>
        <w:pStyle w:val="EndnoteText"/>
      </w:pPr>
      <w:r>
        <w:rPr>
          <w:rStyle w:val="EndnoteReference"/>
        </w:rPr>
        <w:endnoteRef/>
      </w:r>
      <w:r>
        <w:t xml:space="preserve"> Azcarate, </w:t>
      </w:r>
      <w:r>
        <w:rPr>
          <w:i/>
          <w:iCs/>
        </w:rPr>
        <w:t xml:space="preserve">Mission, </w:t>
      </w:r>
      <w:r>
        <w:t xml:space="preserve">181. He sees the closest precedents as Danzig and Tangier.  On 182 he concludes </w:t>
      </w:r>
      <w:r w:rsidRPr="006D7619">
        <w:t>“I still believe that the formula of internationalization contains the seeds of success and is destined to play a most important role in future international organization.”</w:t>
      </w:r>
      <w:r>
        <w:t xml:space="preserve">  He tempers this on 129: </w:t>
      </w:r>
      <w:r w:rsidRPr="006D7619">
        <w:t>“If this peaceful coexistence is to be achieved and assured through a complete or partial internationalization of Jerusalem (a hypothesis whose probabilities diminish with every day that passes)…”</w:t>
      </w:r>
    </w:p>
  </w:endnote>
  <w:endnote w:id="136">
    <w:p w14:paraId="128B0E12" w14:textId="77777777" w:rsidR="00A97A17" w:rsidRPr="0098317D" w:rsidRDefault="00A97A17" w:rsidP="00A97A17">
      <w:pPr>
        <w:pStyle w:val="EndnoteText"/>
      </w:pPr>
      <w:r>
        <w:rPr>
          <w:rStyle w:val="EndnoteReference"/>
        </w:rPr>
        <w:endnoteRef/>
      </w:r>
      <w:r>
        <w:t xml:space="preserve"> Eban, </w:t>
      </w:r>
      <w:r>
        <w:rPr>
          <w:i/>
        </w:rPr>
        <w:t xml:space="preserve">Personal Witness, </w:t>
      </w:r>
      <w:r>
        <w:t xml:space="preserve">206.  On 201 he calls internationalization “illusion and chaos” and 203 has </w:t>
      </w:r>
      <w:r w:rsidRPr="0098317D">
        <w:t xml:space="preserve">“TC embarked on long and unbelievably fantasy-ridden discussions about the exact prerogatives of the “Governor of </w:t>
      </w:r>
      <w:r>
        <w:t>Jerusalem</w:t>
      </w:r>
      <w:r w:rsidRPr="0098317D">
        <w:t>” who would never arrive…”</w:t>
      </w:r>
    </w:p>
  </w:endnote>
  <w:endnote w:id="137">
    <w:p w14:paraId="7BA78E85" w14:textId="77777777" w:rsidR="00A97A17" w:rsidRDefault="00A97A17" w:rsidP="00A97A17">
      <w:pPr>
        <w:pStyle w:val="EndnoteText"/>
      </w:pPr>
      <w:r>
        <w:rPr>
          <w:rStyle w:val="EndnoteReference"/>
        </w:rPr>
        <w:endnoteRef/>
      </w:r>
      <w:r>
        <w:t xml:space="preserve"> Chapman, “Jerusalem”, 88.  He also quotes, 91, from the other side of the border: </w:t>
      </w:r>
      <w:r w:rsidRPr="00CE0C86">
        <w:t>“Glubb Pasha, British Commander of the Arab Legion, said that the partitioning of Jerusalem into Arab and Jewish cities "is the only possible solution. It appears that the U.N. scheme for an international Jerusalem just has not gone any further than the original idea of it, and our experience with the U.N. is that they could not administer an international city.”</w:t>
      </w:r>
      <w:r>
        <w:t xml:space="preserve">  Glubb would have been well-known to his readers.</w:t>
      </w:r>
    </w:p>
  </w:endnote>
  <w:endnote w:id="138">
    <w:p w14:paraId="6613772E" w14:textId="77777777" w:rsidR="00A97A17" w:rsidRDefault="00A97A17" w:rsidP="00A97A17">
      <w:pPr>
        <w:pStyle w:val="EndnoteText"/>
      </w:pPr>
      <w:r>
        <w:rPr>
          <w:rStyle w:val="EndnoteReference"/>
        </w:rPr>
        <w:endnoteRef/>
      </w:r>
      <w:r>
        <w:t xml:space="preserve"> Shwadran, “Jerusalem Again”, 357.</w:t>
      </w:r>
    </w:p>
  </w:endnote>
  <w:endnote w:id="139">
    <w:p w14:paraId="13D00B16" w14:textId="77777777" w:rsidR="00A97A17" w:rsidRDefault="00A97A17" w:rsidP="00A97A17">
      <w:pPr>
        <w:pStyle w:val="EndnoteText"/>
      </w:pPr>
      <w:r>
        <w:rPr>
          <w:rStyle w:val="EndnoteReference"/>
        </w:rPr>
        <w:endnoteRef/>
      </w:r>
      <w:r>
        <w:t xml:space="preserve"> The relevant sections are 118, art. 20.3 and 592, art. 21.3.</w:t>
      </w:r>
    </w:p>
  </w:endnote>
  <w:endnote w:id="140">
    <w:p w14:paraId="2F4609A2" w14:textId="77777777" w:rsidR="00A97A17" w:rsidRDefault="00A97A17" w:rsidP="00A97A17">
      <w:pPr>
        <w:pStyle w:val="EndnoteText"/>
      </w:pPr>
      <w:r>
        <w:rPr>
          <w:rStyle w:val="EndnoteReference"/>
        </w:rPr>
        <w:endnoteRef/>
      </w:r>
      <w:r>
        <w:t xml:space="preserve"> The Jewish Agency had already told the committee in 1948 that anything but a 50-50 split would cause them to reject the proposal and resist its implementation, TC part 2, 114.</w:t>
      </w:r>
    </w:p>
  </w:endnote>
  <w:endnote w:id="141">
    <w:p w14:paraId="2CEC5FFF" w14:textId="77777777" w:rsidR="00A97A17" w:rsidRPr="00207044" w:rsidRDefault="00A97A17" w:rsidP="00A97A17">
      <w:pPr>
        <w:pStyle w:val="EndnoteText"/>
      </w:pPr>
      <w:r>
        <w:rPr>
          <w:rStyle w:val="EndnoteReference"/>
        </w:rPr>
        <w:endnoteRef/>
      </w:r>
      <w:r>
        <w:t xml:space="preserve"> Graves, </w:t>
      </w:r>
      <w:r>
        <w:rPr>
          <w:i/>
        </w:rPr>
        <w:t xml:space="preserve">Anarchy, </w:t>
      </w:r>
      <w:r>
        <w:t xml:space="preserve">Appendix A, Peace Project for Jerusalem, 212, points a and b.  King and O’Brian, </w:t>
      </w:r>
      <w:r>
        <w:rPr>
          <w:i/>
        </w:rPr>
        <w:t xml:space="preserve">Balkans, </w:t>
      </w:r>
      <w:r w:rsidRPr="00385103">
        <w:t xml:space="preserve">77-80 are very clear about </w:t>
      </w:r>
      <w:r w:rsidRPr="00385103">
        <w:rPr>
          <w:rStyle w:val="EndnoteReference"/>
        </w:rPr>
        <w:t xml:space="preserve"> </w:t>
      </w:r>
      <w:r>
        <w:t xml:space="preserve">the mayhem that happens when police forces from one community are sent into areas occupied by the other.  Part of this was rooted in the fact that the new police forces were looked at by the other side as men who had recently been enemy soldiers, and had now been given a new uniform, but little else.  If police in Jerusalem weren’t required to be foreigners, this would also have been true there.  This wasn’t just a theoretical problem.  Testifying before the UN Special Committee on Palestine, Meeting 29, 13/07/1947, p 31, a representative of a Communist Jewish party says: </w:t>
      </w:r>
      <w:r w:rsidRPr="00301045">
        <w:t>“In the British government’s policy of “Divide and Rule”, the Army plays an important part.  Jews and Arabs in uniform are put in action for objectives and in areas and quarters where this in itself</w:t>
      </w:r>
      <w:r>
        <w:t xml:space="preserve"> </w:t>
      </w:r>
      <w:r w:rsidRPr="00301045">
        <w:t>must contribute to national hatred.”</w:t>
      </w:r>
      <w:r>
        <w:t xml:space="preserve">  This had come up before.  Henry W. Nevinson, “Jews and Arabs in Palestine,” </w:t>
      </w:r>
      <w:r w:rsidRPr="00207044">
        <w:rPr>
          <w:i/>
          <w:iCs/>
        </w:rPr>
        <w:t>Foreign Affairs</w:t>
      </w:r>
      <w:r>
        <w:rPr>
          <w:i/>
          <w:iCs/>
        </w:rPr>
        <w:t xml:space="preserve"> 8, </w:t>
      </w:r>
      <w:r>
        <w:t>No 2, (Jan, 1930), 233 has “</w:t>
      </w:r>
      <w:r w:rsidRPr="00207044">
        <w:t>In giving evidence before the Commission of Enquiry</w:t>
      </w:r>
      <w:r>
        <w:t xml:space="preserve"> [on the Wailing Wall Riots, Aug, 1929]</w:t>
      </w:r>
      <w:r w:rsidRPr="00207044">
        <w:t xml:space="preserve"> early in November, Major Saunders, Commandant of Police, admitted that during the atrocities he could not depend upon his force because they were nearly all Arabs</w:t>
      </w:r>
      <w:r w:rsidRPr="00207044">
        <w:annotationRef/>
      </w:r>
      <w:r w:rsidRPr="00207044">
        <w:t xml:space="preserve"> - a shameful lapse from good government.</w:t>
      </w:r>
      <w:r>
        <w:t>”</w:t>
      </w:r>
    </w:p>
    <w:p w14:paraId="032B92CE" w14:textId="77777777" w:rsidR="00A97A17" w:rsidRPr="00F12774" w:rsidRDefault="00A97A17" w:rsidP="00A97A17">
      <w:pPr>
        <w:pStyle w:val="EndnoteText"/>
        <w:rPr>
          <w:rStyle w:val="EndnoteReference"/>
        </w:rPr>
      </w:pPr>
      <w:r>
        <w:t xml:space="preserve">Bernadotte, </w:t>
      </w:r>
      <w:r>
        <w:rPr>
          <w:i/>
        </w:rPr>
        <w:t xml:space="preserve">To Jerusalem, </w:t>
      </w:r>
      <w:r>
        <w:t xml:space="preserve">194 has a very rare moment of levity about the issue: </w:t>
      </w:r>
      <w:r w:rsidRPr="00F12774">
        <w:t xml:space="preserve">“I could not help laughing when the American Consul handed me a copy of a telegram in which the American State Department expressed itself completely satisfied that there ought to be no difficulty about supervising the demilitarization of </w:t>
      </w:r>
      <w:r>
        <w:t>Jerusalem</w:t>
      </w:r>
      <w:r w:rsidRPr="00F12774">
        <w:t xml:space="preserve"> with the aid of a combined Jewish-Arab police force.  Yes, we certainly had a good laugh at that telegram.”</w:t>
      </w:r>
    </w:p>
  </w:endnote>
  <w:endnote w:id="142">
    <w:p w14:paraId="39ABA228" w14:textId="77777777" w:rsidR="00A97A17" w:rsidRDefault="00A97A17" w:rsidP="00A97A17">
      <w:pPr>
        <w:pStyle w:val="EndnoteText"/>
      </w:pPr>
      <w:r>
        <w:rPr>
          <w:rStyle w:val="EndnoteReference"/>
        </w:rPr>
        <w:endnoteRef/>
      </w:r>
      <w:r>
        <w:t xml:space="preserve"> 118 art. 44 and 592 art.42.</w:t>
      </w:r>
    </w:p>
  </w:endnote>
  <w:endnote w:id="143">
    <w:p w14:paraId="0878B0A7" w14:textId="77777777" w:rsidR="00A97A17" w:rsidRDefault="00A97A17" w:rsidP="00A97A17">
      <w:pPr>
        <w:pStyle w:val="EndnoteText"/>
      </w:pPr>
      <w:r>
        <w:rPr>
          <w:rStyle w:val="EndnoteReference"/>
        </w:rPr>
        <w:endnoteRef/>
      </w:r>
      <w:r>
        <w:t xml:space="preserve"> Mohn, “Jerusalem and the UN” sees it as integral to the whole plan of internationalization and includes a section on it, 465-67.  Slonim, “Israeli Policy on Jerusalem” also has a section, 585-90.  Because of the way the issues are intertwined, this section isn’t exclusively about demilitarization.  </w:t>
      </w:r>
    </w:p>
  </w:endnote>
  <w:endnote w:id="144">
    <w:p w14:paraId="191DB22A" w14:textId="77777777" w:rsidR="00A97A17" w:rsidRDefault="00A97A17" w:rsidP="00A97A17">
      <w:pPr>
        <w:pStyle w:val="EndnoteText"/>
      </w:pPr>
      <w:r>
        <w:rPr>
          <w:rStyle w:val="EndnoteReference"/>
        </w:rPr>
        <w:endnoteRef/>
      </w:r>
      <w:r>
        <w:t xml:space="preserve"> All of this is as it ought to be in IL.  Certainly there was a lot of abuse, most particularly in areas occupied by the USSR.  </w:t>
      </w:r>
    </w:p>
  </w:endnote>
  <w:endnote w:id="145">
    <w:p w14:paraId="2348B147" w14:textId="77777777" w:rsidR="00A97A17" w:rsidRPr="002E72EC" w:rsidRDefault="00A97A17" w:rsidP="00A97A17">
      <w:pPr>
        <w:pStyle w:val="EndnoteText"/>
      </w:pPr>
      <w:r>
        <w:rPr>
          <w:rStyle w:val="EndnoteReference"/>
        </w:rPr>
        <w:endnoteRef/>
      </w:r>
      <w:r>
        <w:t xml:space="preserve"> There is little contemporary literature on the subject of demilitarization as separate from surrender and occupation.  </w:t>
      </w:r>
      <w:r w:rsidRPr="00427400">
        <w:t>Sir John Fischer</w:t>
      </w:r>
      <w:r>
        <w:t xml:space="preserve"> </w:t>
      </w:r>
      <w:r w:rsidRPr="00427400">
        <w:t xml:space="preserve">Williams, </w:t>
      </w:r>
      <w:r w:rsidRPr="00427400">
        <w:rPr>
          <w:i/>
        </w:rPr>
        <w:t xml:space="preserve">Chapters on Current International Law and the League of Nations, </w:t>
      </w:r>
      <w:r>
        <w:t>(</w:t>
      </w:r>
      <w:r w:rsidRPr="00427400">
        <w:t>London: Longmans, Green and Co, 1929</w:t>
      </w:r>
      <w:r>
        <w:t xml:space="preserve">) has a short chapter defining it, 111-122.   There is Paul Mohn, “Problems of Truce Supervision” 29, </w:t>
      </w:r>
      <w:r>
        <w:rPr>
          <w:i/>
        </w:rPr>
        <w:t>International Conciliation 51</w:t>
      </w:r>
      <w:r w:rsidRPr="002E72EC">
        <w:t xml:space="preserve">(1952), 51-99.  Truce supervision is different from </w:t>
      </w:r>
      <w:r>
        <w:t>demilitarization</w:t>
      </w:r>
      <w:r w:rsidRPr="002E72EC">
        <w:t>, as it recognizes that there are belligerent forces around</w:t>
      </w:r>
      <w:r>
        <w:t xml:space="preserve">, and truces are designed to be short-term.  Still, it is a related matter, and Mohn draws 90% of his material here from his time in Israel and the surrounding Arab nations, with some added material from Indonesia and Kashmir. This is largely a how-to manual that lists best practices and what has been learned by experience.  Because it comes from practice and not theory, there is little material on how it might have been applied to a situation like Jerusalem.  What there is comes from some very small enclaves, like Government House, the King David Hotel, and the Syrian border.  As a member of the Secretariat, he needs to be positive, so there is little critique or judgement.   Recent writers are </w:t>
      </w:r>
      <w:r w:rsidRPr="00D26903">
        <w:t>Sydney D. Bailey</w:t>
      </w:r>
      <w:r>
        <w:t>, “</w:t>
      </w:r>
      <w:r w:rsidRPr="00D26903">
        <w:t>Nonmilitary Areas in UN Practice</w:t>
      </w:r>
      <w:r>
        <w:t xml:space="preserve">”, </w:t>
      </w:r>
      <w:r w:rsidRPr="00D26903">
        <w:rPr>
          <w:i/>
        </w:rPr>
        <w:t>The American Journal of International Law</w:t>
      </w:r>
      <w:r>
        <w:rPr>
          <w:i/>
        </w:rPr>
        <w:t xml:space="preserve"> </w:t>
      </w:r>
      <w:r w:rsidRPr="00D26903">
        <w:t>74, No. 3 (Jul., 1980), pp. 499-524</w:t>
      </w:r>
      <w:r>
        <w:t xml:space="preserve"> and </w:t>
      </w:r>
      <w:r w:rsidRPr="001B10CC">
        <w:t>Alan</w:t>
      </w:r>
      <w:r>
        <w:t xml:space="preserve"> </w:t>
      </w:r>
      <w:r w:rsidRPr="001B10CC">
        <w:t xml:space="preserve">James, </w:t>
      </w:r>
      <w:r w:rsidRPr="001B10CC">
        <w:rPr>
          <w:i/>
        </w:rPr>
        <w:t xml:space="preserve">Peacekeeping in International Politics, </w:t>
      </w:r>
      <w:r>
        <w:t>(</w:t>
      </w:r>
      <w:r w:rsidRPr="001B10CC">
        <w:t>New York, New York: St Martin’s Press, 1990</w:t>
      </w:r>
      <w:r>
        <w:t xml:space="preserve">).  Like Mohn, Bailey primarily draws from experiences in the Middle East, as that is the place that it has been used.  Bailey has a discussion of the possibility of a demilitarized Jerusalem on 508-09, but I believe that he is wrong to put it under the heading </w:t>
      </w:r>
      <w:r>
        <w:rPr>
          <w:i/>
        </w:rPr>
        <w:t xml:space="preserve">Interim Solution for Contending Claims to Sovereignty </w:t>
      </w:r>
      <w:r>
        <w:t xml:space="preserve">as in all the discussions and plans the aim was to give sovereignty to the UN, probably permanently.  Peace-keeping as described by James is a much broader and constantly expanding set of actions, and so he has a lot more examples.  This book is a useful list of examples and system of classification of them.  Neither provide much judgement or critique, as both seem to start from the notion that whenever there is a bit less conflict, it is for the better.   </w:t>
      </w:r>
    </w:p>
  </w:endnote>
  <w:endnote w:id="146">
    <w:p w14:paraId="36C5B73A" w14:textId="77777777" w:rsidR="00A97A17" w:rsidRPr="00920D07" w:rsidRDefault="00A97A17" w:rsidP="00A97A17">
      <w:pPr>
        <w:pStyle w:val="EndnoteText"/>
      </w:pPr>
      <w:r>
        <w:rPr>
          <w:rStyle w:val="EndnoteReference"/>
        </w:rPr>
        <w:endnoteRef/>
      </w:r>
      <w:r>
        <w:t xml:space="preserve"> Williams, </w:t>
      </w:r>
      <w:r>
        <w:rPr>
          <w:i/>
        </w:rPr>
        <w:t xml:space="preserve">Chapters on Law, </w:t>
      </w:r>
      <w:r>
        <w:t xml:space="preserve">119 has </w:t>
      </w:r>
      <w:r w:rsidRPr="00920D07">
        <w:t>“It [a neutral State] thus enjoys an immunity greater than that of any demilitarized zone, whose protection against military action is limited to peace time.”</w:t>
      </w:r>
    </w:p>
  </w:endnote>
  <w:endnote w:id="147">
    <w:p w14:paraId="5A12FC04" w14:textId="77777777" w:rsidR="00A97A17" w:rsidRDefault="00A97A17" w:rsidP="00A97A17">
      <w:pPr>
        <w:pStyle w:val="EndnoteText"/>
      </w:pPr>
      <w:r>
        <w:rPr>
          <w:rStyle w:val="EndnoteReference"/>
        </w:rPr>
        <w:endnoteRef/>
      </w:r>
      <w:r>
        <w:t xml:space="preserve"> </w:t>
      </w:r>
      <w:r w:rsidRPr="006F7DE4">
        <w:t xml:space="preserve">L. Oppenheim, </w:t>
      </w:r>
      <w:r w:rsidRPr="006F7DE4">
        <w:rPr>
          <w:i/>
        </w:rPr>
        <w:t xml:space="preserve">International Law: A Treatise, Vol </w:t>
      </w:r>
      <w:r>
        <w:rPr>
          <w:i/>
        </w:rPr>
        <w:t>II</w:t>
      </w:r>
      <w:r w:rsidRPr="006F7DE4">
        <w:rPr>
          <w:i/>
        </w:rPr>
        <w:t>,</w:t>
      </w:r>
      <w:r>
        <w:rPr>
          <w:i/>
        </w:rPr>
        <w:t xml:space="preserve"> War,</w:t>
      </w:r>
      <w:r w:rsidRPr="006F7DE4">
        <w:rPr>
          <w:i/>
        </w:rPr>
        <w:t xml:space="preserve"> </w:t>
      </w:r>
      <w:r w:rsidRPr="006F7DE4">
        <w:t>edited by H</w:t>
      </w:r>
      <w:r>
        <w:t>.</w:t>
      </w:r>
      <w:r w:rsidRPr="006F7DE4">
        <w:t xml:space="preserve"> Lauterpacht, </w:t>
      </w:r>
      <w:r>
        <w:t>(</w:t>
      </w:r>
      <w:r w:rsidRPr="006F7DE4">
        <w:t>London: Longmans, Green and Co, 1947</w:t>
      </w:r>
      <w:r>
        <w:t xml:space="preserve">), 244, fn 1.  He goes on to distinguish the term from ‘neutralisation’ and ‘internationalisation’, and 244-47 is a list of areas that it has applied to.  Of these, only Trieste, where it was never applied at all, is listed as demilitarized, all the rest are neutralized.  Williams, </w:t>
      </w:r>
      <w:r>
        <w:rPr>
          <w:i/>
        </w:rPr>
        <w:t xml:space="preserve">Chapters on Law, </w:t>
      </w:r>
      <w:r>
        <w:t xml:space="preserve">concurs that this can only be done in an agreement between states.  His definition is on 111.  This meaning must not have changed, as Bailey, “Nonmilitary Areas”, 499, writing much later has: </w:t>
      </w:r>
      <w:r w:rsidRPr="00981D8F">
        <w:rPr>
          <w:iCs/>
        </w:rPr>
        <w:t>“The duty to protect is a matter of international law: the use of nonmilitary zones as a technique for such protection is suggested by international instruments but is dependent upon the agreement of the parties.”</w:t>
      </w:r>
      <w:r>
        <w:rPr>
          <w:iCs/>
        </w:rPr>
        <w:t xml:space="preserve">  Of course, the fact that what they were attempting was outside the bounds of law hadn’t stopped them yet.  </w:t>
      </w:r>
    </w:p>
  </w:endnote>
  <w:endnote w:id="148">
    <w:p w14:paraId="255B1E64" w14:textId="77777777" w:rsidR="00A97A17" w:rsidRDefault="00A97A17" w:rsidP="00A97A17">
      <w:pPr>
        <w:pStyle w:val="EndnoteText"/>
      </w:pPr>
      <w:r>
        <w:rPr>
          <w:rStyle w:val="EndnoteReference"/>
        </w:rPr>
        <w:endnoteRef/>
      </w:r>
      <w:r>
        <w:t xml:space="preserve"> This makes the demilitarization of Jerusalem very different from that written into the armistice between Israel and Syria, which was agreed to by the two sides.  Of course, that agreement also created tension. </w:t>
      </w:r>
      <w:r w:rsidRPr="00047413">
        <w:t xml:space="preserve"> Jacob C. Hurewitz</w:t>
      </w:r>
      <w:r>
        <w:t>, “</w:t>
      </w:r>
      <w:r w:rsidRPr="00047413">
        <w:t>The Israeli-Syrian Crisis in the Light of the Arab-Israel Armistice System</w:t>
      </w:r>
      <w:r>
        <w:t xml:space="preserve">,” </w:t>
      </w:r>
      <w:r w:rsidRPr="00047413">
        <w:rPr>
          <w:i/>
        </w:rPr>
        <w:t xml:space="preserve">International Organization, </w:t>
      </w:r>
      <w:r w:rsidRPr="00047413">
        <w:t>Vol. 5, No. 3 (Aug., 1951),</w:t>
      </w:r>
      <w:r>
        <w:t xml:space="preserve"> 478 has “</w:t>
      </w:r>
      <w:r w:rsidRPr="00047413">
        <w:t>The provisional scheme for the demilitarized zone was bound sooner or later  to  be assailed. The armistice called, in effect, for the maintenance of a governmental vacuum in this zone. But such a condition is impossible to</w:t>
      </w:r>
      <w:r>
        <w:t xml:space="preserve"> maintain indefinitely.”  In his conclusion, after a long list of unresolved questions, he notes the costs of ambiguity, 479 “</w:t>
      </w:r>
      <w:r w:rsidRPr="00047413">
        <w:t>The answers to these questions will obviously have to await the ultimate peace negotiations. But this much seems clear: the very existence of such questions is certain to increase rather than lessen the friction between</w:t>
      </w:r>
      <w:r>
        <w:t xml:space="preserve"> the parties in the future.”</w:t>
      </w:r>
    </w:p>
  </w:endnote>
  <w:endnote w:id="149">
    <w:p w14:paraId="33A99C40" w14:textId="77777777" w:rsidR="00A97A17" w:rsidRDefault="00A97A17" w:rsidP="00A97A17">
      <w:pPr>
        <w:pStyle w:val="EndnoteText"/>
      </w:pPr>
      <w:r>
        <w:rPr>
          <w:rStyle w:val="EndnoteReference"/>
        </w:rPr>
        <w:endnoteRef/>
      </w:r>
      <w:r>
        <w:t xml:space="preserve"> Chapman, “Jerusalem in the Place”, 88.</w:t>
      </w:r>
    </w:p>
  </w:endnote>
  <w:endnote w:id="150">
    <w:p w14:paraId="0CDC0664" w14:textId="77777777" w:rsidR="00A97A17" w:rsidRPr="00920D07" w:rsidRDefault="00A97A17" w:rsidP="00A97A17">
      <w:pPr>
        <w:pStyle w:val="EndnoteText"/>
      </w:pPr>
      <w:r>
        <w:rPr>
          <w:rStyle w:val="EndnoteReference"/>
        </w:rPr>
        <w:endnoteRef/>
      </w:r>
      <w:r>
        <w:t xml:space="preserve"> Williams, </w:t>
      </w:r>
      <w:r>
        <w:rPr>
          <w:i/>
        </w:rPr>
        <w:t xml:space="preserve">Chapters on Law, </w:t>
      </w:r>
      <w:r>
        <w:t>116.</w:t>
      </w:r>
    </w:p>
  </w:endnote>
  <w:endnote w:id="151">
    <w:p w14:paraId="6FEDD436" w14:textId="77777777" w:rsidR="00A97A17" w:rsidRDefault="00A97A17" w:rsidP="00A97A17">
      <w:pPr>
        <w:pStyle w:val="EndnoteText"/>
      </w:pPr>
      <w:r>
        <w:rPr>
          <w:rStyle w:val="EndnoteReference"/>
        </w:rPr>
        <w:endnoteRef/>
      </w:r>
      <w:r>
        <w:t xml:space="preserve"> A simple comparison between the most famous DMZ, that between the two Koreas, and that proposed for Jerusalem is instructive.  It runs the entire length of the border, is wide enough that it is clear who is the aggressor breeching it and is uninhabited.</w:t>
      </w:r>
    </w:p>
  </w:endnote>
  <w:endnote w:id="152">
    <w:p w14:paraId="11F30A11" w14:textId="77777777" w:rsidR="00A97A17" w:rsidRPr="00ED66EE" w:rsidRDefault="00A97A17" w:rsidP="00A97A17">
      <w:pPr>
        <w:pStyle w:val="EndnoteText"/>
      </w:pPr>
      <w:r>
        <w:rPr>
          <w:rStyle w:val="EndnoteReference"/>
        </w:rPr>
        <w:endnoteRef/>
      </w:r>
      <w:r w:rsidRPr="006F7DE4">
        <w:t xml:space="preserve">Oppenheim, </w:t>
      </w:r>
      <w:r w:rsidRPr="006F7DE4">
        <w:rPr>
          <w:i/>
        </w:rPr>
        <w:t>International Law</w:t>
      </w:r>
      <w:r>
        <w:rPr>
          <w:i/>
        </w:rPr>
        <w:t xml:space="preserve">, </w:t>
      </w:r>
      <w:r w:rsidRPr="004F4B95">
        <w:t xml:space="preserve">121, “…experience has shown that a reduction and limitation of armaments through general and comprehensive agreements is conditioned by the existence of effective international institutions entrusted with the ascertainment and enforcement of international law.”  In the fn that follows, he </w:t>
      </w:r>
      <w:r>
        <w:t>say</w:t>
      </w:r>
      <w:r w:rsidRPr="004F4B95">
        <w:t>s that</w:t>
      </w:r>
      <w:r>
        <w:t xml:space="preserve"> Hans</w:t>
      </w:r>
      <w:r w:rsidRPr="004F4B95">
        <w:t xml:space="preserve"> Kelsen</w:t>
      </w:r>
      <w:r>
        <w:t xml:space="preserve"> (an important middle 20</w:t>
      </w:r>
      <w:r w:rsidRPr="004F4B95">
        <w:rPr>
          <w:vertAlign w:val="superscript"/>
        </w:rPr>
        <w:t>th</w:t>
      </w:r>
      <w:r>
        <w:t xml:space="preserve"> cen publicist of international law) </w:t>
      </w:r>
      <w:r w:rsidRPr="004F4B95">
        <w:t>suggests</w:t>
      </w:r>
      <w:r>
        <w:t xml:space="preserve"> </w:t>
      </w:r>
      <w:r w:rsidRPr="004F4B95">
        <w:t>”… that disarmament without simultaneous creation of an international government may not be compatible with a system of International Law as a body of enforceable rules of conduct….”</w:t>
      </w:r>
      <w:r>
        <w:t xml:space="preserve">  Lie then would have had the ability to argue that demilitarization without a UN force was illegal under existing international law.  Williams, </w:t>
      </w:r>
      <w:r>
        <w:rPr>
          <w:i/>
        </w:rPr>
        <w:t xml:space="preserve">Chapters on Law, </w:t>
      </w:r>
      <w:r>
        <w:t xml:space="preserve">120 recognizes this need and concludes </w:t>
      </w:r>
      <w:r w:rsidRPr="00ED66EE">
        <w:t>“It is essential that demilitarized zones created in the future should be subject to the permanent inspection of the League.”</w:t>
      </w:r>
    </w:p>
  </w:endnote>
  <w:endnote w:id="153">
    <w:p w14:paraId="33D5D7C3" w14:textId="77777777" w:rsidR="00A97A17" w:rsidRDefault="00A97A17" w:rsidP="00A97A17">
      <w:pPr>
        <w:pStyle w:val="EndnoteText"/>
      </w:pPr>
      <w:r>
        <w:rPr>
          <w:rStyle w:val="EndnoteReference"/>
        </w:rPr>
        <w:endnoteRef/>
      </w:r>
      <w:r>
        <w:t xml:space="preserve"> </w:t>
      </w:r>
      <w:r w:rsidRPr="00396401">
        <w:t>Trygve Lie</w:t>
      </w:r>
      <w:r w:rsidRPr="00396401">
        <w:rPr>
          <w:i/>
        </w:rPr>
        <w:t xml:space="preserve">, In the Cause of Peace: Seven Years with the United Nations </w:t>
      </w:r>
      <w:r w:rsidRPr="00396401">
        <w:t>(New York, McMillan Co., 1954)</w:t>
      </w:r>
      <w:r>
        <w:t xml:space="preserve"> is his memoirs of his time at the UN.  Chapter X, “The Palestine Challenge” is about the leadup and his attempt to organize a force, and the next Chapter is about the UN’s actions during the war and the threat to the UN of not having a force.  </w:t>
      </w:r>
    </w:p>
  </w:endnote>
  <w:endnote w:id="154">
    <w:p w14:paraId="2DC3266A" w14:textId="77777777" w:rsidR="00A97A17" w:rsidRPr="00783A97" w:rsidRDefault="00A97A17" w:rsidP="00A97A17">
      <w:pPr>
        <w:pStyle w:val="EndnoteText"/>
      </w:pPr>
      <w:r>
        <w:rPr>
          <w:rStyle w:val="EndnoteReference"/>
        </w:rPr>
        <w:endnoteRef/>
      </w:r>
      <w:r>
        <w:t xml:space="preserve"> Lie, </w:t>
      </w:r>
      <w:r>
        <w:rPr>
          <w:i/>
        </w:rPr>
        <w:t xml:space="preserve">The Cause, </w:t>
      </w:r>
      <w:r>
        <w:t>quotes from the report 165-66:</w:t>
      </w:r>
      <w:r w:rsidRPr="00783A97">
        <w:t xml:space="preserve"> “In the view of the Commission, a basic issue of international order is involved.  A dangerous and tragic precedent will have been established if force, or the threat of the use of force, is to prove an effective deterrent to the will of the UN”</w:t>
      </w:r>
      <w:r>
        <w:t>.  166 has his understanding of the legal issues.</w:t>
      </w:r>
    </w:p>
  </w:endnote>
  <w:endnote w:id="155">
    <w:p w14:paraId="32A56A6E" w14:textId="77777777" w:rsidR="00A97A17" w:rsidRPr="00E2672A" w:rsidRDefault="00A97A17" w:rsidP="00A97A17">
      <w:pPr>
        <w:pStyle w:val="EndnoteText"/>
      </w:pPr>
      <w:r>
        <w:rPr>
          <w:rStyle w:val="EndnoteReference"/>
        </w:rPr>
        <w:endnoteRef/>
      </w:r>
      <w:r>
        <w:t xml:space="preserve"> Ilan, </w:t>
      </w:r>
      <w:r w:rsidRPr="00E2672A">
        <w:rPr>
          <w:i/>
        </w:rPr>
        <w:t>Bernadotte</w:t>
      </w:r>
      <w:r>
        <w:rPr>
          <w:i/>
        </w:rPr>
        <w:t xml:space="preserve">, </w:t>
      </w:r>
      <w:r>
        <w:t xml:space="preserve">123 for the 1000, 132 for the speech.  The issue of an independent force to ensure that the decisions of the UN were followed wasn’t new.  The LN had dealt with this as well, though it never created such a thing.  </w:t>
      </w:r>
      <w:r w:rsidRPr="00A54E9D">
        <w:t>Quincy Wright, Harold Tobin and Chesney Hill</w:t>
      </w:r>
      <w:r>
        <w:t>, “</w:t>
      </w:r>
      <w:r w:rsidRPr="00A54E9D">
        <w:t>ARTICLE 19 OF THE LEAGUE COVENANT AND THE DOCTRINE "REBUS SIC STANTIBUS</w:t>
      </w:r>
      <w:r>
        <w:t xml:space="preserve">”, </w:t>
      </w:r>
      <w:r w:rsidRPr="00A54E9D">
        <w:rPr>
          <w:i/>
        </w:rPr>
        <w:t xml:space="preserve">Proceedings of the American Society of International Law at Its Annual Meeting (1921-1969), </w:t>
      </w:r>
      <w:r w:rsidRPr="00A54E9D">
        <w:t>Vol. 30 (APRIL 23-25, 1936),</w:t>
      </w:r>
      <w:r>
        <w:t xml:space="preserve"> 61 makes reference to this problem and fn 20 on the same page gives a good overview of the literature on the problem up to that time.  </w:t>
      </w:r>
      <w:r w:rsidRPr="00084C0E">
        <w:t>Arthur O.</w:t>
      </w:r>
      <w:r>
        <w:t xml:space="preserve"> </w:t>
      </w:r>
      <w:r w:rsidRPr="00084C0E">
        <w:t xml:space="preserve">Lovejoy, </w:t>
      </w:r>
      <w:r>
        <w:t>“</w:t>
      </w:r>
      <w:r w:rsidRPr="00084C0E">
        <w:t>The</w:t>
      </w:r>
      <w:r>
        <w:t xml:space="preserve"> </w:t>
      </w:r>
      <w:r w:rsidRPr="00084C0E">
        <w:t>Dumbarton Oaks Proposals: the enforcement of peace, Problem XVIII,</w:t>
      </w:r>
      <w:r>
        <w:t>” (</w:t>
      </w:r>
      <w:r w:rsidRPr="00084C0E">
        <w:t>Boston: Universities</w:t>
      </w:r>
      <w:r>
        <w:t xml:space="preserve"> </w:t>
      </w:r>
      <w:r w:rsidRPr="00084C0E">
        <w:t>Committee on Post-War International Problems, 1944</w:t>
      </w:r>
      <w:r>
        <w:t xml:space="preserve">) gives a sense of the thinking on the issue during the war, and that it was considered fundamental to any post-war international organization.  This is a short pamphlet that is primarily designed to pose questions and not make definitive judgments, but it is clear that they considered a force basic to the functioning of the organization.  Modern historian </w:t>
      </w:r>
      <w:r w:rsidRPr="00E66E08">
        <w:t>Robert C.</w:t>
      </w:r>
      <w:r>
        <w:t xml:space="preserve"> </w:t>
      </w:r>
      <w:r w:rsidRPr="00E66E08">
        <w:t xml:space="preserve">Hilderbrand, </w:t>
      </w:r>
      <w:r w:rsidRPr="00E66E08">
        <w:rPr>
          <w:i/>
        </w:rPr>
        <w:t>Dumbarton Oaks: The Origins of the United Nations and the Search for Postwar Security,</w:t>
      </w:r>
      <w:r w:rsidRPr="00E66E08">
        <w:t xml:space="preserve"> </w:t>
      </w:r>
      <w:r>
        <w:t>(</w:t>
      </w:r>
      <w:r w:rsidRPr="00E66E08">
        <w:t>Chapel Hill: University of North Carolina Press, 1990</w:t>
      </w:r>
      <w:r>
        <w:t>) places the issue of a military force at the disposal of the UN at the center of the creation of the UN itself and says that the debates between the big 3 on this issue almost scuttled the very idea of the UN itself.  His primary section on this is 137-58.  It is impossible that Lie wouldn’t have known about this controversy.</w:t>
      </w:r>
    </w:p>
  </w:endnote>
  <w:endnote w:id="156">
    <w:p w14:paraId="0EF0C11A" w14:textId="77777777" w:rsidR="00A97A17" w:rsidRPr="00B91932" w:rsidRDefault="00A97A17" w:rsidP="00A97A17">
      <w:pPr>
        <w:pStyle w:val="EndnoteText"/>
      </w:pPr>
      <w:r>
        <w:rPr>
          <w:rStyle w:val="EndnoteReference"/>
        </w:rPr>
        <w:endnoteRef/>
      </w:r>
      <w:r>
        <w:t xml:space="preserve"> Lie, </w:t>
      </w:r>
      <w:r>
        <w:rPr>
          <w:i/>
        </w:rPr>
        <w:t xml:space="preserve">The Cause, </w:t>
      </w:r>
      <w:r>
        <w:t xml:space="preserve">183.  174, 175 and 176 contain more like that.  Lie felt that he finally succeeded with the Korean War, 323.  </w:t>
      </w:r>
    </w:p>
  </w:endnote>
  <w:endnote w:id="157">
    <w:p w14:paraId="452CAC55" w14:textId="77777777" w:rsidR="00A97A17" w:rsidRPr="004D4556" w:rsidRDefault="00A97A17" w:rsidP="00A97A17">
      <w:pPr>
        <w:pStyle w:val="EndnoteText"/>
      </w:pPr>
      <w:r>
        <w:rPr>
          <w:rStyle w:val="EndnoteReference"/>
        </w:rPr>
        <w:endnoteRef/>
      </w:r>
      <w:r>
        <w:t xml:space="preserve"> Lie, </w:t>
      </w:r>
      <w:r>
        <w:rPr>
          <w:i/>
        </w:rPr>
        <w:t xml:space="preserve">The Cause, </w:t>
      </w:r>
      <w:r>
        <w:t xml:space="preserve">185-86.  Ilan, </w:t>
      </w:r>
      <w:r>
        <w:rPr>
          <w:i/>
        </w:rPr>
        <w:t xml:space="preserve">Bernadotte, </w:t>
      </w:r>
      <w:r>
        <w:t xml:space="preserve">133 lists his reasons why the idea failed and has another list on 5.  James, </w:t>
      </w:r>
      <w:r>
        <w:rPr>
          <w:i/>
        </w:rPr>
        <w:t xml:space="preserve">Peacekeeping, </w:t>
      </w:r>
      <w:r>
        <w:t xml:space="preserve">10 says that the UN was totally unsuited for peacekeeping operations at this time.   </w:t>
      </w:r>
    </w:p>
  </w:endnote>
  <w:endnote w:id="158">
    <w:p w14:paraId="5DDC00F5" w14:textId="77777777" w:rsidR="00A97A17" w:rsidRPr="00B167F8" w:rsidRDefault="00A97A17" w:rsidP="00A97A17">
      <w:pPr>
        <w:pStyle w:val="EndnoteText"/>
      </w:pPr>
      <w:r>
        <w:rPr>
          <w:rStyle w:val="EndnoteReference"/>
        </w:rPr>
        <w:endnoteRef/>
      </w:r>
      <w:r>
        <w:t xml:space="preserve"> James, </w:t>
      </w:r>
      <w:r>
        <w:rPr>
          <w:i/>
        </w:rPr>
        <w:t xml:space="preserve">Peacekeeping, </w:t>
      </w:r>
      <w:r>
        <w:t xml:space="preserve">14, in his categorization of conflicts, puts the 1948 war in his third category: “neighborhood conflicts” by which he means that it wasn’t part of larger conflicts or alliances.  In these cases, he says that the international community often allows the conflict to go on without noticing.  This is, however a poor category for that war, as the international community was so intimately involved all the way through and certainly didn’t turn a blind eye (James calls it ‘soundproofing”).  There must have been other reasons for allowing the conflict.   </w:t>
      </w:r>
    </w:p>
  </w:endnote>
  <w:endnote w:id="159">
    <w:p w14:paraId="5C1DAD2A" w14:textId="77777777" w:rsidR="00A97A17" w:rsidRPr="00EE70D9" w:rsidRDefault="00A97A17" w:rsidP="00A97A17">
      <w:pPr>
        <w:pStyle w:val="EndnoteText"/>
      </w:pPr>
      <w:r>
        <w:rPr>
          <w:rStyle w:val="EndnoteReference"/>
        </w:rPr>
        <w:endnoteRef/>
      </w:r>
      <w:r>
        <w:t xml:space="preserve"> It is instructive to consider the argument that Bernadotte himself was one of the casualties of the ambiguity explicit in internationalization.  He was killed by right-wing Jewish forces in Jerusalem 17 September 1948.  This was well after the </w:t>
      </w:r>
      <w:r>
        <w:rPr>
          <w:i/>
        </w:rPr>
        <w:t xml:space="preserve">Altalena </w:t>
      </w:r>
      <w:r>
        <w:t xml:space="preserve">incident after which the Israeli government suppressed independent military forces in the nation and unified the military.  In deference to the UN and the possibility of internationalization, Israel didn’t extend its control to Jerusalem, and so Etzel and Lechi, both right wing military forces, operated openly as separate forces in Jerusalem.  Had Israel been in control of all Jewish forces in the city at the time, it might have been harder for them to organize the assassination.  McDonald, </w:t>
      </w:r>
      <w:r>
        <w:rPr>
          <w:i/>
        </w:rPr>
        <w:t xml:space="preserve">My Mission, </w:t>
      </w:r>
      <w:r>
        <w:t>92, recognizes this possibility in his judgement:</w:t>
      </w:r>
      <w:r w:rsidRPr="0087021B">
        <w:t xml:space="preserve"> “</w:t>
      </w:r>
      <w:r>
        <w:t>(</w:t>
      </w:r>
      <w:r w:rsidRPr="0087021B">
        <w:t xml:space="preserve">There is no doubt that Bernadotte’s bold assumption that no one would dare attack him, and his unwillingness to enlarge Israel’s authority by asking for Israel protection after announcing his intention to move from isolated Rhodes to </w:t>
      </w:r>
      <w:r>
        <w:t>Jerusalem</w:t>
      </w:r>
      <w:r w:rsidRPr="0087021B">
        <w:t>, indicated a fatal lack of realism that facilitated the work of the assassins.)”</w:t>
      </w:r>
      <w:r>
        <w:t xml:space="preserve"> On 67 McDonald writes: “When, after lunch, some of the Count’s colleagues spoke of the possibility that he might move his headquarters from Rhodes to Jerusalem, I could not help sounding a demurrer.  “I have fears for your safety,” I said.  “Jerusalem is still an armed camp-in fact, several armed camps.”  He goes on to name the Irgun and Stern camps.</w:t>
      </w:r>
    </w:p>
  </w:endnote>
  <w:endnote w:id="160">
    <w:p w14:paraId="79890F41" w14:textId="77777777" w:rsidR="00A97A17" w:rsidRPr="004949AC" w:rsidRDefault="00A97A17" w:rsidP="00A97A17">
      <w:pPr>
        <w:pStyle w:val="EndnoteText"/>
      </w:pPr>
      <w:r>
        <w:rPr>
          <w:rStyle w:val="EndnoteReference"/>
        </w:rPr>
        <w:endnoteRef/>
      </w:r>
      <w:r>
        <w:t xml:space="preserve"> Ilan, </w:t>
      </w:r>
      <w:r>
        <w:rPr>
          <w:i/>
        </w:rPr>
        <w:t xml:space="preserve">Bernadotte, </w:t>
      </w:r>
      <w:r>
        <w:t>141, on the push for demilitarization without any force, and 143-44 on the UN observers leaving.</w:t>
      </w:r>
    </w:p>
  </w:endnote>
  <w:endnote w:id="161">
    <w:p w14:paraId="1A1B1924" w14:textId="77777777" w:rsidR="00A97A17" w:rsidRPr="00F80559" w:rsidRDefault="00A97A17" w:rsidP="00A97A17">
      <w:pPr>
        <w:pStyle w:val="EndnoteText"/>
      </w:pPr>
      <w:r>
        <w:rPr>
          <w:rStyle w:val="EndnoteReference"/>
        </w:rPr>
        <w:endnoteRef/>
      </w:r>
      <w:r>
        <w:t xml:space="preserve"> Hall, </w:t>
      </w:r>
      <w:r>
        <w:rPr>
          <w:i/>
        </w:rPr>
        <w:t xml:space="preserve">Mandates, </w:t>
      </w:r>
      <w:r w:rsidRPr="00F80559">
        <w:t>69:</w:t>
      </w:r>
      <w:r>
        <w:rPr>
          <w:i/>
        </w:rPr>
        <w:t xml:space="preserve"> “</w:t>
      </w:r>
      <w:r w:rsidRPr="00F80559">
        <w:t>A demilitarized  zone or neutralized area was likely to be a signpost pointing to the danger of involvement in war.”</w:t>
      </w:r>
      <w:r>
        <w:t xml:space="preserve">  He goes on to say, on 71, that to use these tools is to invite failure, as it ignores past experience.  </w:t>
      </w:r>
    </w:p>
  </w:endnote>
  <w:endnote w:id="162">
    <w:p w14:paraId="1CA03C8B" w14:textId="77777777" w:rsidR="00A97A17" w:rsidRDefault="00A97A17" w:rsidP="00A97A17">
      <w:pPr>
        <w:pStyle w:val="EndnoteText"/>
      </w:pPr>
      <w:r>
        <w:rPr>
          <w:rStyle w:val="EndnoteReference"/>
        </w:rPr>
        <w:endnoteRef/>
      </w:r>
      <w:r>
        <w:t xml:space="preserve"> Von Kuhlmann, “Saar”, 435.  Writing in 1934, he is of course lying about ”utterly disarmed”.</w:t>
      </w:r>
    </w:p>
  </w:endnote>
  <w:endnote w:id="163">
    <w:p w14:paraId="4A3F5864" w14:textId="77777777" w:rsidR="00A97A17" w:rsidRPr="00B93274" w:rsidRDefault="00A97A17" w:rsidP="00A97A17">
      <w:pPr>
        <w:pStyle w:val="EndnoteText"/>
      </w:pPr>
      <w:r>
        <w:rPr>
          <w:rStyle w:val="EndnoteReference"/>
        </w:rPr>
        <w:endnoteRef/>
      </w:r>
      <w:r>
        <w:t xml:space="preserve"> Ilan, </w:t>
      </w:r>
      <w:r>
        <w:rPr>
          <w:i/>
        </w:rPr>
        <w:t xml:space="preserve">Bernadotte, </w:t>
      </w:r>
      <w:r>
        <w:t xml:space="preserve">83. </w:t>
      </w:r>
    </w:p>
  </w:endnote>
  <w:endnote w:id="164">
    <w:p w14:paraId="7B2EE17F" w14:textId="77777777" w:rsidR="00A97A17" w:rsidRPr="00087B58" w:rsidRDefault="00A97A17" w:rsidP="00A97A17">
      <w:pPr>
        <w:pStyle w:val="EndnoteText"/>
        <w:rPr>
          <w:i/>
        </w:rPr>
      </w:pPr>
      <w:r>
        <w:rPr>
          <w:rStyle w:val="EndnoteReference"/>
        </w:rPr>
        <w:endnoteRef/>
      </w:r>
      <w:r>
        <w:t xml:space="preserve"> Bernadotte, </w:t>
      </w:r>
      <w:r>
        <w:rPr>
          <w:i/>
        </w:rPr>
        <w:t xml:space="preserve">To Jerusalem, </w:t>
      </w:r>
      <w:r>
        <w:t>87</w:t>
      </w:r>
      <w:r>
        <w:rPr>
          <w:i/>
        </w:rPr>
        <w:t>.</w:t>
      </w:r>
    </w:p>
  </w:endnote>
  <w:endnote w:id="165">
    <w:p w14:paraId="508DB7ED" w14:textId="77777777" w:rsidR="00A97A17" w:rsidRPr="00C126FE" w:rsidRDefault="00A97A17" w:rsidP="00A97A17">
      <w:pPr>
        <w:pStyle w:val="EndnoteText"/>
      </w:pPr>
      <w:r>
        <w:rPr>
          <w:rStyle w:val="EndnoteReference"/>
        </w:rPr>
        <w:endnoteRef/>
      </w:r>
      <w:r>
        <w:t xml:space="preserve"> Bernadotte, </w:t>
      </w:r>
      <w:r>
        <w:rPr>
          <w:i/>
        </w:rPr>
        <w:t xml:space="preserve">To Jerusalem, </w:t>
      </w:r>
      <w:r>
        <w:t xml:space="preserve">131, </w:t>
      </w:r>
      <w:r w:rsidRPr="00FB5679">
        <w:t xml:space="preserve">“I had instructed my representatives to inform me if they found there was no prospect whatever of continued negotiations.  That would mean in effect that the two parties intended to resume the war.  In that case I would concentrate our efforts on getting </w:t>
      </w:r>
      <w:r>
        <w:t>Jerusalem</w:t>
      </w:r>
      <w:r w:rsidRPr="00FB5679">
        <w:t xml:space="preserve"> demilitarized.” </w:t>
      </w:r>
      <w:r>
        <w:t xml:space="preserve">This is </w:t>
      </w:r>
      <w:r w:rsidRPr="00FB5679">
        <w:t>27 June</w:t>
      </w:r>
      <w:r>
        <w:t>.</w:t>
      </w:r>
    </w:p>
  </w:endnote>
  <w:endnote w:id="166">
    <w:p w14:paraId="67D5E36D" w14:textId="77777777" w:rsidR="00A97A17" w:rsidRPr="00B43B4B" w:rsidRDefault="00A97A17" w:rsidP="00A97A17">
      <w:pPr>
        <w:pStyle w:val="EndnoteText"/>
      </w:pPr>
      <w:r>
        <w:rPr>
          <w:rStyle w:val="EndnoteReference"/>
        </w:rPr>
        <w:endnoteRef/>
      </w:r>
      <w:r>
        <w:t xml:space="preserve"> Bernadotte, </w:t>
      </w:r>
      <w:r>
        <w:rPr>
          <w:i/>
        </w:rPr>
        <w:t xml:space="preserve">To Jerusalem, </w:t>
      </w:r>
      <w:r>
        <w:t xml:space="preserve">145, 147, 163, all refer to meetings that discuss the status of the city with the Arab side; 161, 203, 207, 220 are about discussions with the Israelis.  </w:t>
      </w:r>
    </w:p>
  </w:endnote>
  <w:endnote w:id="167">
    <w:p w14:paraId="1382AEC2" w14:textId="77777777" w:rsidR="00A97A17" w:rsidRPr="00487AF4" w:rsidRDefault="00A97A17" w:rsidP="00A97A17">
      <w:pPr>
        <w:pStyle w:val="EndnoteText"/>
      </w:pPr>
      <w:r>
        <w:rPr>
          <w:rStyle w:val="EndnoteReference"/>
        </w:rPr>
        <w:endnoteRef/>
      </w:r>
      <w:r>
        <w:t xml:space="preserve"> Bernadotte, </w:t>
      </w:r>
      <w:r>
        <w:rPr>
          <w:i/>
        </w:rPr>
        <w:t xml:space="preserve">To Jerusalem, </w:t>
      </w:r>
      <w:r>
        <w:t xml:space="preserve">163 has </w:t>
      </w:r>
      <w:r w:rsidRPr="00487AF4">
        <w:t xml:space="preserve">“I told them [leaders of Arab states after the truce observers had left the country and it was clear that the truce wouldn’t be renewed] that I would now concentrate entirely on the question of the demilitarization of </w:t>
      </w:r>
      <w:r>
        <w:t>Jerusalem</w:t>
      </w:r>
      <w:r w:rsidRPr="00487AF4">
        <w:t xml:space="preserve"> and asked for their assistance in this matter.”</w:t>
      </w:r>
      <w:r>
        <w:t xml:space="preserve"> The quote in fn 149 is another example.  </w:t>
      </w:r>
    </w:p>
  </w:endnote>
  <w:endnote w:id="168">
    <w:p w14:paraId="1776FA02" w14:textId="77777777" w:rsidR="00A97A17" w:rsidRPr="007B6BEE" w:rsidRDefault="00A97A17" w:rsidP="00A97A17">
      <w:pPr>
        <w:pStyle w:val="EndnoteText"/>
      </w:pPr>
      <w:r>
        <w:rPr>
          <w:rStyle w:val="EndnoteReference"/>
        </w:rPr>
        <w:endnoteRef/>
      </w:r>
      <w:r>
        <w:t xml:space="preserve"> Bernadotte, </w:t>
      </w:r>
      <w:r>
        <w:rPr>
          <w:i/>
        </w:rPr>
        <w:t xml:space="preserve">To Jerusalem, </w:t>
      </w:r>
      <w:r>
        <w:t xml:space="preserve">this line starts with 53: </w:t>
      </w:r>
      <w:r w:rsidRPr="007B6BEE">
        <w:t>“The attitude adopted at Lake Success had</w:t>
      </w:r>
      <w:r>
        <w:t xml:space="preserve"> </w:t>
      </w:r>
      <w:r w:rsidRPr="007B6BEE">
        <w:t>evidently been that a person [himself] who did not belong to a given assembly [SC]</w:t>
      </w:r>
      <w:r>
        <w:t>,</w:t>
      </w:r>
      <w:r w:rsidRPr="007B6BEE">
        <w:t xml:space="preserve"> and who</w:t>
      </w:r>
      <w:r>
        <w:t xml:space="preserve"> </w:t>
      </w:r>
      <w:r w:rsidRPr="007B6BEE">
        <w:t>had thus not been in a position to follow its discussions, was best fitted to interpret the</w:t>
      </w:r>
      <w:r>
        <w:t xml:space="preserve"> </w:t>
      </w:r>
      <w:r w:rsidRPr="007B6BEE">
        <w:t>meaning of that assembly’s decisions.  It was an attitude that seemed to me more than strange.”</w:t>
      </w:r>
      <w:r>
        <w:t xml:space="preserve">  On 162 he doubts that the UN could implement the internationalization of the oil refineries in Haifa, 182 has</w:t>
      </w:r>
      <w:r w:rsidRPr="00524CC4">
        <w:t xml:space="preserve"> “Here [the lack of UN truce supervision staff] was a typical example of what happens when armchair politicians [SC], be they never so highly qualified, make theoretical decisions of the very greatest importance without first finding out whether it is possible to carry them out in practice.”</w:t>
      </w:r>
      <w:r>
        <w:t xml:space="preserve">  His discussions on 193 finish with</w:t>
      </w:r>
      <w:r w:rsidRPr="00524CC4">
        <w:t xml:space="preserve"> </w:t>
      </w:r>
      <w:r>
        <w:t>“</w:t>
      </w:r>
      <w:r w:rsidRPr="00524CC4">
        <w:t>I cabled to the UN that if it proved impossible to maintain the second truce, I should lay the blame solely and entirely at the door of the UN.”</w:t>
      </w:r>
      <w:r>
        <w:t xml:space="preserve">  194 has much the same, and yet more on 233.</w:t>
      </w:r>
    </w:p>
  </w:endnote>
  <w:endnote w:id="169">
    <w:p w14:paraId="4A61D4AD" w14:textId="77777777" w:rsidR="00A97A17" w:rsidRPr="00524CC4" w:rsidRDefault="00A97A17" w:rsidP="00A97A17">
      <w:pPr>
        <w:pStyle w:val="EndnoteText"/>
      </w:pPr>
      <w:r>
        <w:rPr>
          <w:rStyle w:val="EndnoteReference"/>
        </w:rPr>
        <w:endnoteRef/>
      </w:r>
      <w:r>
        <w:t xml:space="preserve"> Bernadotte, </w:t>
      </w:r>
      <w:r>
        <w:rPr>
          <w:i/>
        </w:rPr>
        <w:t xml:space="preserve">To Jerusalem, </w:t>
      </w:r>
      <w:r>
        <w:t xml:space="preserve">148 has him expecting 1000 troops for Jerusalem 5 July, and 195 increases the stakes a great deal: </w:t>
      </w:r>
      <w:r w:rsidRPr="006F0BA1">
        <w:t xml:space="preserve">“We consequently [of reports of numbers of soldiers in </w:t>
      </w:r>
      <w:r>
        <w:t>Jerusalem</w:t>
      </w:r>
      <w:r w:rsidRPr="006F0BA1">
        <w:t xml:space="preserve">] decided to inform General Marshall that, if we were to carry out the demilitarization of </w:t>
      </w:r>
      <w:r>
        <w:t>Jerusalem</w:t>
      </w:r>
      <w:r w:rsidRPr="006F0BA1">
        <w:t xml:space="preserve">, we should need about 6,000 well-armed and fully trained soldiers.  No compromise on this point was possible.  If, for example, nothing more than police forces armed with revolvers were sent to </w:t>
      </w:r>
      <w:r>
        <w:t>Jerusalem</w:t>
      </w:r>
      <w:r w:rsidRPr="006F0BA1">
        <w:t>, that would be simply to invite attack by the irregular units.  The police troops would never be able to hold their own against them.  And if they were overpowered, that would still further damage the prestige of the UN in P</w:t>
      </w:r>
      <w:r>
        <w:t>alestine</w:t>
      </w:r>
      <w:r w:rsidRPr="006F0BA1">
        <w:t xml:space="preserve"> in general and in </w:t>
      </w:r>
      <w:r>
        <w:t>Jerusalem</w:t>
      </w:r>
      <w:r w:rsidRPr="006F0BA1">
        <w:t xml:space="preserve"> in particular.”</w:t>
      </w:r>
    </w:p>
  </w:endnote>
  <w:endnote w:id="170">
    <w:p w14:paraId="2628C24C" w14:textId="77777777" w:rsidR="00A97A17" w:rsidRPr="000546B5" w:rsidRDefault="00A97A17" w:rsidP="00A97A17">
      <w:pPr>
        <w:pStyle w:val="EndnoteText"/>
      </w:pPr>
      <w:r>
        <w:rPr>
          <w:rStyle w:val="EndnoteReference"/>
        </w:rPr>
        <w:endnoteRef/>
      </w:r>
      <w:r>
        <w:t xml:space="preserve"> Bernadotte, </w:t>
      </w:r>
      <w:r>
        <w:rPr>
          <w:i/>
        </w:rPr>
        <w:t xml:space="preserve">To Jerusalem, </w:t>
      </w:r>
      <w:r>
        <w:t xml:space="preserve">191, he threatens to resign his post over the fact that the US was very slow to send promised truce observers.  Ilan, </w:t>
      </w:r>
      <w:r>
        <w:rPr>
          <w:i/>
        </w:rPr>
        <w:t xml:space="preserve">Bernadotte, </w:t>
      </w:r>
      <w:r>
        <w:t xml:space="preserve">133 argues that already in July 1947 it was clear that there would be no UN force in Palestine to keep the peace.  On the same page US Secretary of State Marshall tells Lie in no uncertain terms that there would be no US troops under UN command there 23 June 1948.  The UK certainly wasn’t going to send troops and those two had ensured that the USSR would have no opportunity to send any.    </w:t>
      </w:r>
    </w:p>
  </w:endnote>
  <w:endnote w:id="171">
    <w:p w14:paraId="04B2A219" w14:textId="77777777" w:rsidR="00A97A17" w:rsidRDefault="00A97A17" w:rsidP="00A97A17">
      <w:pPr>
        <w:pStyle w:val="EndnoteText"/>
      </w:pPr>
      <w:r>
        <w:rPr>
          <w:rStyle w:val="EndnoteReference"/>
        </w:rPr>
        <w:endnoteRef/>
      </w:r>
      <w:r>
        <w:t xml:space="preserve"> Ziad Abuzayyad, “</w:t>
      </w:r>
      <w:r w:rsidRPr="00963B37">
        <w:t>The Question of Jerusalem in international law and Member States’ obligations</w:t>
      </w:r>
      <w:r>
        <w:t xml:space="preserve">”, a paper presented at The International Conference on the Question of Jerusalem, Rabat, Morocco, 26-28 June 2018.  The document “The Status of Jerusalem”, UN, New York, 1997 comes to the same conclusion, but without any short summaries.  The section on legal status is 22-26.  </w:t>
      </w:r>
    </w:p>
    <w:p w14:paraId="54014D4E" w14:textId="77777777" w:rsidR="00A97A17" w:rsidRDefault="00A97A17" w:rsidP="00A97A17">
      <w:pPr>
        <w:pStyle w:val="EndnoteText"/>
      </w:pPr>
      <w:r>
        <w:t xml:space="preserve">It is important to separate the international community from international law at this point.  </w:t>
      </w:r>
      <w:r w:rsidRPr="004636C8">
        <w:t>Julius</w:t>
      </w:r>
      <w:r>
        <w:rPr>
          <w:i/>
        </w:rPr>
        <w:t xml:space="preserve"> </w:t>
      </w:r>
      <w:r w:rsidRPr="004636C8">
        <w:t xml:space="preserve">Stone, </w:t>
      </w:r>
      <w:r w:rsidRPr="004636C8">
        <w:rPr>
          <w:i/>
        </w:rPr>
        <w:t xml:space="preserve">Israel and Palestine: Assault on the Law of Nations, </w:t>
      </w:r>
      <w:r w:rsidRPr="004636C8">
        <w:t>(Baltimore: Johns Hopkins University Press, 1981)</w:t>
      </w:r>
      <w:r>
        <w:t xml:space="preserve"> is a cogent rebuttal of Abuzayyad’s approach and concludes, on the basis of his understanding of international law, that Israel has the strongest case for sovereignty in Jerusalem.  This is chapter 7, 98-123.  If international law is simply a codification of what states are willing to agree to at any given moment, and there are publicists that take this approach, then Abuzayyad has the stronger case.  If it is a cumulative body over time that respects precedent and is consistent, then Stone must be paid attention to.  This is well outside the scope of the paper, and Stone, writing much later, is also outside of a history paper.  However, any understanding of the legal issues must include his views. </w:t>
      </w:r>
    </w:p>
  </w:endnote>
  <w:endnote w:id="172">
    <w:p w14:paraId="50FF9A54" w14:textId="77777777" w:rsidR="00A97A17" w:rsidRDefault="00A97A17" w:rsidP="00A97A17">
      <w:pPr>
        <w:pStyle w:val="EndnoteText"/>
      </w:pPr>
      <w:r>
        <w:rPr>
          <w:rStyle w:val="EndnoteReference"/>
        </w:rPr>
        <w:endnoteRef/>
      </w:r>
      <w:r>
        <w:t xml:space="preserve"> A good example is </w:t>
      </w:r>
      <w:hyperlink r:id="rId2" w:history="1">
        <w:r w:rsidRPr="007C3799">
          <w:rPr>
            <w:rStyle w:val="Hyperlink"/>
          </w:rPr>
          <w:t>A/RES/64/20</w:t>
        </w:r>
      </w:hyperlink>
      <w:r>
        <w:t xml:space="preserve"> 25 January 2010.  This is roughly boilerplate language, as the details change as time passes, but all reaffirm 181 and the principals in it of the rights and interests of the international community.</w:t>
      </w:r>
    </w:p>
  </w:endnote>
  <w:endnote w:id="173">
    <w:p w14:paraId="78D05F0E" w14:textId="77777777" w:rsidR="00A97A17" w:rsidRDefault="00A97A17" w:rsidP="00A97A17">
      <w:pPr>
        <w:pStyle w:val="EndnoteText"/>
      </w:pPr>
      <w:r>
        <w:rPr>
          <w:rStyle w:val="EndnoteReference"/>
        </w:rPr>
        <w:endnoteRef/>
      </w:r>
      <w:r>
        <w:t xml:space="preserve"> For examples in the popular press, both </w:t>
      </w:r>
      <w:r w:rsidRPr="00B17CB6">
        <w:t>“The World Reacts to Donald Trump</w:t>
      </w:r>
      <w:r>
        <w:t>’</w:t>
      </w:r>
      <w:r w:rsidRPr="00B17CB6">
        <w:t>s Recognition of</w:t>
      </w:r>
      <w:r>
        <w:t xml:space="preserve"> </w:t>
      </w:r>
      <w:r w:rsidRPr="00B17CB6">
        <w:t>Jerusalem as Israel’s Capital”</w:t>
      </w:r>
      <w:r>
        <w:t xml:space="preserve"> and </w:t>
      </w:r>
      <w:r w:rsidRPr="00B17CB6">
        <w:t xml:space="preserve">“The Recognition of </w:t>
      </w:r>
      <w:r>
        <w:t>Jerusalem</w:t>
      </w:r>
      <w:r w:rsidRPr="00B17CB6">
        <w:t xml:space="preserve"> as Israel’s Capital is Reckless”</w:t>
      </w:r>
      <w:r>
        <w:t xml:space="preserve"> in </w:t>
      </w:r>
      <w:r>
        <w:rPr>
          <w:i/>
        </w:rPr>
        <w:t xml:space="preserve">The Economist, </w:t>
      </w:r>
      <w:r w:rsidRPr="00B17CB6">
        <w:t>December 7 2017</w:t>
      </w:r>
      <w:r>
        <w:rPr>
          <w:i/>
        </w:rPr>
        <w:t xml:space="preserve"> </w:t>
      </w:r>
      <w:r>
        <w:t xml:space="preserve">note that the international community still sees the city as internationalized and without any sovereign power.  </w:t>
      </w:r>
      <w:r w:rsidRPr="00B17CB6">
        <w:t xml:space="preserve">“Moving the US Embassy to </w:t>
      </w:r>
      <w:r>
        <w:t>Jerusalem</w:t>
      </w:r>
      <w:r w:rsidRPr="00B17CB6">
        <w:t>: Death-knell or defibrillator for the peace process?”</w:t>
      </w:r>
      <w:r>
        <w:t xml:space="preserve"> in </w:t>
      </w:r>
      <w:r>
        <w:rPr>
          <w:i/>
        </w:rPr>
        <w:t xml:space="preserve">The Economist, </w:t>
      </w:r>
      <w:r>
        <w:t xml:space="preserve">December 24 2016 also does, while neither </w:t>
      </w:r>
      <w:r w:rsidRPr="00B17CB6">
        <w:t xml:space="preserve">“The Last Conquest of </w:t>
      </w:r>
      <w:r>
        <w:t>Jerusalem</w:t>
      </w:r>
      <w:r w:rsidRPr="00B17CB6">
        <w:t>”</w:t>
      </w:r>
      <w:r>
        <w:t xml:space="preserve"> or</w:t>
      </w:r>
      <w:r w:rsidRPr="00B17CB6">
        <w:t xml:space="preserve"> “The Heart of the Holy War”</w:t>
      </w:r>
      <w:r>
        <w:t xml:space="preserve"> in </w:t>
      </w:r>
      <w:r>
        <w:rPr>
          <w:i/>
        </w:rPr>
        <w:t xml:space="preserve">The Economist, </w:t>
      </w:r>
      <w:r>
        <w:t xml:space="preserve">April 12 2006 mention that that is still the status.  </w:t>
      </w:r>
    </w:p>
  </w:endnote>
  <w:endnote w:id="174">
    <w:p w14:paraId="6CDB946B" w14:textId="77777777" w:rsidR="00A97A17" w:rsidRDefault="00A97A17" w:rsidP="00A97A17">
      <w:pPr>
        <w:pStyle w:val="EndnoteText"/>
      </w:pPr>
      <w:r>
        <w:rPr>
          <w:rStyle w:val="EndnoteReference"/>
        </w:rPr>
        <w:endnoteRef/>
      </w:r>
      <w:r>
        <w:t xml:space="preserve"> Hall, “International Frontier, 64 puts this better than I can: “The very mark and sign of the international frontier is an area open to the pressures and competition of the powers, in which no writ, either national or international, can run unchallenged.”  He restates this 61-62: </w:t>
      </w:r>
      <w:r w:rsidRPr="00E855C5">
        <w:t>“Instability-if not the present degree of deadlock and basic antagonism between the powers-has always been a characteristic of the international frontier.”</w:t>
      </w:r>
    </w:p>
  </w:endnote>
  <w:endnote w:id="175">
    <w:p w14:paraId="3ED9C249" w14:textId="77777777" w:rsidR="00A97A17" w:rsidRDefault="00A97A17" w:rsidP="00A97A17">
      <w:pPr>
        <w:pStyle w:val="EndnoteText"/>
      </w:pPr>
      <w:r>
        <w:rPr>
          <w:rStyle w:val="EndnoteReference"/>
        </w:rPr>
        <w:endnoteRef/>
      </w:r>
      <w:r>
        <w:t xml:space="preserve"> Hall, “International Frontier”, 63-4.</w:t>
      </w:r>
    </w:p>
  </w:endnote>
  <w:endnote w:id="176">
    <w:p w14:paraId="42FF3646" w14:textId="77777777" w:rsidR="00A97A17" w:rsidRPr="00B71088" w:rsidRDefault="00A97A17" w:rsidP="00A97A17">
      <w:pPr>
        <w:pStyle w:val="EndnoteText"/>
      </w:pPr>
      <w:r>
        <w:rPr>
          <w:rStyle w:val="EndnoteReference"/>
        </w:rPr>
        <w:endnoteRef/>
      </w:r>
      <w:r>
        <w:t xml:space="preserve"> Azcarate, </w:t>
      </w:r>
      <w:r>
        <w:rPr>
          <w:i/>
          <w:iCs/>
        </w:rPr>
        <w:t xml:space="preserve">Mission, </w:t>
      </w:r>
      <w:r>
        <w:t xml:space="preserve">185 agrees that the UN’s actions forced Israel and Jordan to take possession of the city: </w:t>
      </w:r>
      <w:r w:rsidRPr="00B71088">
        <w:t>“It is hard to imagine what more the UN Assembly could have done to assist a process which has ended by destroying the last possibility of establishing a regime in Jerusalem deserving the name international.  Faced with such inconsistency and-not to put too fine a point on it-levity on the part of the Assembly, who can be surprised that the two occupying states felt morally entitled to consolidate their positions in Jerusalem?”</w:t>
      </w:r>
    </w:p>
  </w:endnote>
  <w:endnote w:id="177">
    <w:p w14:paraId="53D1E768" w14:textId="77777777" w:rsidR="00A97A17" w:rsidRDefault="00A97A17" w:rsidP="00A97A17">
      <w:pPr>
        <w:pStyle w:val="EndnoteText"/>
      </w:pPr>
      <w:r>
        <w:rPr>
          <w:rStyle w:val="EndnoteReference"/>
        </w:rPr>
        <w:endnoteRef/>
      </w:r>
      <w:r>
        <w:t xml:space="preserve"> Hall, “International Frontier”, 64.  He goes on with an assessment of the UN’s prospects:  “If the general international organization were to cease to depend on power borrowed on short-term loan; if it were to acquire a solid territorial basis, and large-scale and stable financial and material resources; if it were to secure its own armed forces on which it could instantly rely at all times-then, indeed, it might command the international frontier.  But this was the outline of a world not yet born.”</w:t>
      </w:r>
    </w:p>
  </w:endnote>
  <w:endnote w:id="178">
    <w:p w14:paraId="36A761AA" w14:textId="77777777" w:rsidR="00A97A17" w:rsidRPr="00C33D8C" w:rsidRDefault="00A97A17" w:rsidP="00A97A17">
      <w:pPr>
        <w:pStyle w:val="EndnoteText"/>
      </w:pPr>
      <w:r>
        <w:rPr>
          <w:rStyle w:val="EndnoteReference"/>
        </w:rPr>
        <w:endnoteRef/>
      </w:r>
      <w:r>
        <w:t xml:space="preserve"> Eban, </w:t>
      </w:r>
      <w:r>
        <w:rPr>
          <w:i/>
        </w:rPr>
        <w:t xml:space="preserve">Witness, </w:t>
      </w:r>
      <w:r>
        <w:t>197.</w:t>
      </w:r>
    </w:p>
  </w:endnote>
  <w:endnote w:id="179">
    <w:p w14:paraId="4E5A8B47" w14:textId="77777777" w:rsidR="00A97A17" w:rsidRPr="00F00250" w:rsidRDefault="00A97A17" w:rsidP="00A97A17">
      <w:pPr>
        <w:pStyle w:val="EndnoteText"/>
      </w:pPr>
      <w:r>
        <w:rPr>
          <w:rStyle w:val="EndnoteReference"/>
        </w:rPr>
        <w:endnoteRef/>
      </w:r>
      <w:r>
        <w:t xml:space="preserve"> Oppenheim, </w:t>
      </w:r>
      <w:r>
        <w:rPr>
          <w:i/>
        </w:rPr>
        <w:t xml:space="preserve">International Law, </w:t>
      </w:r>
      <w:r>
        <w:t xml:space="preserve">244, fn.  This appears in all the editions cited here, 1926, 1935, and 1948.  In all that time, it developed no clarity.  By this definition, none of the European precedents were internationalized, as they all existed for the sake of another state and had special relations with that state.  Jerusalem was alone in this too.  </w:t>
      </w:r>
    </w:p>
  </w:endnote>
  <w:endnote w:id="180">
    <w:p w14:paraId="029DF871" w14:textId="77777777" w:rsidR="00A97A17" w:rsidRDefault="00A97A17" w:rsidP="00A97A17">
      <w:pPr>
        <w:pStyle w:val="EndnoteText"/>
      </w:pPr>
      <w:r>
        <w:rPr>
          <w:rStyle w:val="EndnoteReference"/>
        </w:rPr>
        <w:endnoteRef/>
      </w:r>
      <w:r>
        <w:t xml:space="preserve"> Eban, </w:t>
      </w:r>
      <w:r>
        <w:rPr>
          <w:i/>
        </w:rPr>
        <w:t xml:space="preserve">Witness, </w:t>
      </w:r>
      <w:r>
        <w:t xml:space="preserve">202 has </w:t>
      </w:r>
      <w:r w:rsidRPr="00E57E41">
        <w:t>“Its objective {</w:t>
      </w:r>
      <w:r>
        <w:t xml:space="preserve">the </w:t>
      </w:r>
      <w:r w:rsidRPr="00E57E41">
        <w:t xml:space="preserve">TC] had been to guide subject areas toward independence.  In the case of </w:t>
      </w:r>
      <w:r>
        <w:t>Jerusalem</w:t>
      </w:r>
      <w:r w:rsidRPr="00E57E41">
        <w:t>, as I pointed out, it was attempting to guide an independent area toward unwanted tutelage.”</w:t>
      </w:r>
    </w:p>
    <w:p w14:paraId="0150ABC5" w14:textId="77777777" w:rsidR="00A97A17" w:rsidRPr="008E38C1" w:rsidRDefault="00A97A17" w:rsidP="00A97A17">
      <w:pPr>
        <w:pStyle w:val="EndnoteText"/>
      </w:pPr>
      <w:r>
        <w:t xml:space="preserve">The Israeli Foreign Minister uses an argument like this with Bernadotte, </w:t>
      </w:r>
      <w:r>
        <w:rPr>
          <w:i/>
        </w:rPr>
        <w:t xml:space="preserve">To Jerusalem, </w:t>
      </w:r>
      <w:r>
        <w:t>210.</w:t>
      </w:r>
    </w:p>
  </w:endnote>
  <w:endnote w:id="181">
    <w:p w14:paraId="0EDA5833" w14:textId="77777777" w:rsidR="00A97A17" w:rsidRPr="0035741A" w:rsidRDefault="00A97A17" w:rsidP="00A97A17">
      <w:pPr>
        <w:pStyle w:val="EndnoteText"/>
      </w:pPr>
      <w:r>
        <w:rPr>
          <w:rStyle w:val="EndnoteReference"/>
        </w:rPr>
        <w:endnoteRef/>
      </w:r>
      <w:r>
        <w:t xml:space="preserve"> Bernadotte, </w:t>
      </w:r>
      <w:r>
        <w:rPr>
          <w:i/>
        </w:rPr>
        <w:t>To Jerusalem</w:t>
      </w:r>
      <w:r w:rsidRPr="0035741A">
        <w:t>, 142, the Orthodox Jewish community wanted the internationalization of the city, but they probably saw this as the only way to return to their homes in the</w:t>
      </w:r>
      <w:r>
        <w:t xml:space="preserve"> Jewish Quarter of the</w:t>
      </w:r>
      <w:r w:rsidRPr="0035741A">
        <w:t xml:space="preserve"> Old City</w:t>
      </w:r>
      <w:r>
        <w:t>.</w:t>
      </w:r>
    </w:p>
  </w:endnote>
  <w:endnote w:id="182">
    <w:p w14:paraId="69764667" w14:textId="77777777" w:rsidR="00A97A17" w:rsidRDefault="00A97A17" w:rsidP="00A97A17">
      <w:pPr>
        <w:pStyle w:val="EndnoteText"/>
      </w:pPr>
      <w:r>
        <w:rPr>
          <w:rStyle w:val="EndnoteReference"/>
        </w:rPr>
        <w:endnoteRef/>
      </w:r>
      <w:r>
        <w:t xml:space="preserve"> Eban stood on the GA floor and compared Jerusalem to these precedents, UN Yearbook 1950, 340: “</w:t>
      </w:r>
      <w:r w:rsidRPr="00E407EF">
        <w:t>History, he stated, had shown the difficulties implicit in attempts at internationalization, as in Danzig and Memel, Jerusalem and</w:t>
      </w:r>
      <w:r>
        <w:t xml:space="preserve"> Trieste.”</w:t>
      </w:r>
    </w:p>
  </w:endnote>
  <w:endnote w:id="183">
    <w:p w14:paraId="7977DF19" w14:textId="77777777" w:rsidR="00A97A17" w:rsidRDefault="00A97A17" w:rsidP="00A97A17">
      <w:pPr>
        <w:pStyle w:val="EndnoteText"/>
      </w:pPr>
      <w:r>
        <w:rPr>
          <w:rStyle w:val="EndnoteReference"/>
        </w:rPr>
        <w:endnoteRef/>
      </w:r>
      <w:r>
        <w:t xml:space="preserve"> </w:t>
      </w:r>
      <w:r w:rsidRPr="00345A87">
        <w:t>Viscount Samuel</w:t>
      </w:r>
      <w:r>
        <w:t>, “</w:t>
      </w:r>
      <w:r w:rsidRPr="00345A87">
        <w:t>Alternatives to Partition</w:t>
      </w:r>
      <w:r>
        <w:t xml:space="preserve">,” </w:t>
      </w:r>
      <w:r w:rsidRPr="00345A87">
        <w:rPr>
          <w:i/>
        </w:rPr>
        <w:t>Foreign Affairs</w:t>
      </w:r>
      <w:r w:rsidRPr="00345A87">
        <w:t xml:space="preserve"> 16, No. 1 (Oct., 1937),</w:t>
      </w:r>
      <w:r>
        <w:t xml:space="preserve"> 152.</w:t>
      </w:r>
    </w:p>
  </w:endnote>
  <w:endnote w:id="184">
    <w:p w14:paraId="06B6B3E7" w14:textId="77777777" w:rsidR="00A97A17" w:rsidRDefault="00A97A17" w:rsidP="00A97A17">
      <w:pPr>
        <w:pStyle w:val="EndnoteText"/>
      </w:pPr>
      <w:r>
        <w:rPr>
          <w:rStyle w:val="EndnoteReference"/>
        </w:rPr>
        <w:endnoteRef/>
      </w:r>
      <w:r>
        <w:t xml:space="preserve"> </w:t>
      </w:r>
      <w:r w:rsidRPr="00705C25">
        <w:t>Sigmund Freud, "Why War," Free World 11, no. 4 (April 1946)</w:t>
      </w:r>
      <w:r>
        <w:t>, 20 has “</w:t>
      </w:r>
      <w:r w:rsidRPr="00705C25">
        <w:t>It is all too clear that the</w:t>
      </w:r>
      <w:r>
        <w:t xml:space="preserve"> </w:t>
      </w:r>
      <w:r w:rsidRPr="00705C25">
        <w:t>nationalistic ideas, paramount today in every country, operate in quite a contrary direction</w:t>
      </w:r>
      <w:r w:rsidRPr="00705C25">
        <w:annotationRef/>
      </w:r>
      <w:r>
        <w:t xml:space="preserve"> [toward war]</w:t>
      </w:r>
      <w:r w:rsidRPr="00705C25">
        <w:t>.</w:t>
      </w:r>
      <w:r>
        <w:t xml:space="preserve">”  This essay was part of a correspondence between Freud and Einstein on the subject.  First printed in 1933, it is as much a political essay as psychoanalytic, and was intended for the general audience.  For a more technical view, there is </w:t>
      </w:r>
      <w:r w:rsidRPr="0032519D">
        <w:t>Robert</w:t>
      </w:r>
      <w:r>
        <w:t xml:space="preserve"> </w:t>
      </w:r>
      <w:r w:rsidRPr="0032519D">
        <w:t xml:space="preserve">Waelder, “Psychological Aspects of War and Peace: an Outline of Some of the Problems with Suggestions Regarding Further Research,” </w:t>
      </w:r>
      <w:r w:rsidRPr="0032519D">
        <w:rPr>
          <w:i/>
        </w:rPr>
        <w:t xml:space="preserve">Geneva Studies X, </w:t>
      </w:r>
      <w:r w:rsidRPr="0032519D">
        <w:t>no 2, May, 1939</w:t>
      </w:r>
      <w:r>
        <w:t xml:space="preserve">, written for a political audience.  A concise understanding of Waelder’s thinking is in an abstract of </w:t>
      </w:r>
      <w:r w:rsidRPr="00C37C63">
        <w:t xml:space="preserve">Waelder, Robert. “Etiology and Course of Mass Psychoses.” </w:t>
      </w:r>
      <w:r w:rsidRPr="00C37C63">
        <w:rPr>
          <w:i/>
        </w:rPr>
        <w:t>The Psychoanalytic</w:t>
      </w:r>
      <w:r w:rsidRPr="00C37C63">
        <w:t xml:space="preserve"> </w:t>
      </w:r>
      <w:r w:rsidRPr="00C37C63">
        <w:rPr>
          <w:i/>
        </w:rPr>
        <w:t>Review</w:t>
      </w:r>
      <w:r w:rsidRPr="00C37C63">
        <w:t xml:space="preserve"> Jan 1, 1939; 26: 400-402.</w:t>
      </w:r>
      <w:r>
        <w:t xml:space="preserve">  Also, in 1933 Willem Reich published </w:t>
      </w:r>
      <w:r>
        <w:rPr>
          <w:i/>
        </w:rPr>
        <w:t xml:space="preserve">The Mass Psychology of Fascism” </w:t>
      </w:r>
      <w:r>
        <w:t xml:space="preserve">though it didn’t come out in English till 1946. </w:t>
      </w:r>
      <w:r w:rsidRPr="00C15428">
        <w:rPr>
          <w:bCs/>
        </w:rPr>
        <w:t xml:space="preserve">  They were all personally affected, as it seems that of the entire circle of Central European thinkers at the core of the field, only Jung lived out the war in Europe; all the rest were forced into exile. </w:t>
      </w:r>
      <w:r>
        <w:t xml:space="preserve">   </w:t>
      </w:r>
    </w:p>
  </w:endnote>
  <w:endnote w:id="185">
    <w:p w14:paraId="2A205519" w14:textId="77777777" w:rsidR="00A97A17" w:rsidRPr="00E9245F" w:rsidRDefault="00A97A17" w:rsidP="00A97A17">
      <w:pPr>
        <w:pStyle w:val="EndnoteText"/>
      </w:pPr>
      <w:r>
        <w:rPr>
          <w:rStyle w:val="EndnoteReference"/>
        </w:rPr>
        <w:endnoteRef/>
      </w:r>
      <w:r>
        <w:t xml:space="preserve"> Perhaps the failure of demilitarization to keep the peace in Europe is a reason why Williams gives it 10 pages of serious explication and </w:t>
      </w:r>
      <w:r w:rsidRPr="00E9245F">
        <w:t>Oppenheim,</w:t>
      </w:r>
      <w:r>
        <w:rPr>
          <w:i/>
        </w:rPr>
        <w:t xml:space="preserve"> </w:t>
      </w:r>
      <w:r>
        <w:t>writing after WWII,</w:t>
      </w:r>
      <w:r>
        <w:rPr>
          <w:i/>
        </w:rPr>
        <w:t xml:space="preserve"> </w:t>
      </w:r>
      <w:r>
        <w:t xml:space="preserve">gives it just a footnote.  An investigation into how the tool was seen over time is in order.  L. Oppenheim, </w:t>
      </w:r>
      <w:r>
        <w:rPr>
          <w:i/>
        </w:rPr>
        <w:t xml:space="preserve">International Law: A Treatise, Vol II, </w:t>
      </w:r>
      <w:r>
        <w:t>edition 4 of 1926 and edition 5 of 1936 each have the same material on demilitarization.  In a section called ‘Arms Reduction and Limitation’, each has in a fn</w:t>
      </w:r>
      <w:r w:rsidRPr="003558DC">
        <w:t>: “Cognate with the reduction of armaments as a means of preventing wars is the increasing practice of instituting demilitarized zones- for instance, in the Rhineland,…”</w:t>
      </w:r>
      <w:r>
        <w:t xml:space="preserve"> (This is on 78 in edition 4 and 101 in edition 5)  Demilitarisation was seen as a tool of reducing the possibility of war.  Applying it to a small part of a large border would only have increased the chances of war.  Both editions have the same fn as edition 6 of 1947 distinguishing terms. (in edition 4 on 148 and in edition 5 on 200).  However, by edition 6, editor Lauterpacht had removed the above with its ‘increasing practice’ and added the Kelsen caveat and associated material (fn 145 above) on 121.  He must have wanted to discourage the practice.  International law showed that it could evolve and change with feedback, but the diplomats seemed to have missed this.  </w:t>
      </w:r>
    </w:p>
  </w:endnote>
  <w:endnote w:id="186">
    <w:p w14:paraId="356D720E" w14:textId="77777777" w:rsidR="00A97A17" w:rsidRDefault="00A97A17" w:rsidP="00A97A17">
      <w:pPr>
        <w:pStyle w:val="EndnoteText"/>
      </w:pPr>
      <w:r>
        <w:rPr>
          <w:rStyle w:val="EndnoteReference"/>
        </w:rPr>
        <w:endnoteRef/>
      </w:r>
      <w:r>
        <w:t xml:space="preserve"> Writing at the beginning of the war, </w:t>
      </w:r>
      <w:r w:rsidRPr="00DA30A3">
        <w:t>Maurice</w:t>
      </w:r>
      <w:r>
        <w:t xml:space="preserve"> </w:t>
      </w:r>
      <w:r w:rsidRPr="00DA30A3">
        <w:t xml:space="preserve">Bourquin, “Dynamism and the Machinery of International Institutions: A Critical Study of a Twenty Years’ Experiment,” </w:t>
      </w:r>
      <w:r w:rsidRPr="00DA30A3">
        <w:rPr>
          <w:i/>
        </w:rPr>
        <w:t xml:space="preserve">Geneva Studies XI, </w:t>
      </w:r>
      <w:r w:rsidRPr="00DA30A3">
        <w:t>no. 5, September, 1940</w:t>
      </w:r>
      <w:r>
        <w:t xml:space="preserve">, offers what I think would have been a consensus opinion on both sides of the war, 21: </w:t>
      </w:r>
      <w:r w:rsidRPr="00DA30A3">
        <w:t>“It is a fact that nations find it difficult to sympathize with each other, even when powerful interests should logically bring them together.  Dominated more or less unconsciously by divergent traditions, ideas, and prejudices, they cannot grasp the mentality, the needs and aspirations of others, and the innumerable false conceptions which ensue weigh heavily on international life.”</w:t>
      </w:r>
    </w:p>
  </w:endnote>
  <w:endnote w:id="187">
    <w:p w14:paraId="42BD51FC" w14:textId="77777777" w:rsidR="00A97A17" w:rsidRPr="001A1060" w:rsidRDefault="00A97A17" w:rsidP="00A97A17">
      <w:pPr>
        <w:pStyle w:val="EndnoteText"/>
      </w:pPr>
      <w:r>
        <w:rPr>
          <w:rStyle w:val="EndnoteReference"/>
        </w:rPr>
        <w:endnoteRef/>
      </w:r>
      <w:r>
        <w:t xml:space="preserve"> Graves, </w:t>
      </w:r>
      <w:r>
        <w:rPr>
          <w:i/>
        </w:rPr>
        <w:t xml:space="preserve">Anarchy, </w:t>
      </w:r>
      <w:r>
        <w:t>161.</w:t>
      </w:r>
    </w:p>
  </w:endnote>
  <w:endnote w:id="188">
    <w:p w14:paraId="73FF14A6" w14:textId="77777777" w:rsidR="00A97A17" w:rsidRPr="000E31BF" w:rsidRDefault="00A97A17" w:rsidP="00A97A17">
      <w:pPr>
        <w:pStyle w:val="EndnoteText"/>
        <w:rPr>
          <w:iCs/>
        </w:rPr>
      </w:pPr>
      <w:r>
        <w:rPr>
          <w:rStyle w:val="EndnoteReference"/>
        </w:rPr>
        <w:endnoteRef/>
      </w:r>
      <w:r>
        <w:t xml:space="preserve"> Morrow, </w:t>
      </w:r>
      <w:r>
        <w:rPr>
          <w:i/>
        </w:rPr>
        <w:t xml:space="preserve">Borderlands, </w:t>
      </w:r>
      <w:r w:rsidRPr="00B1436A">
        <w:t>491-2</w:t>
      </w:r>
      <w:r>
        <w:rPr>
          <w:i/>
        </w:rPr>
        <w:t>.</w:t>
      </w:r>
      <w:r>
        <w:t xml:space="preserve">  This quote is preceded by: </w:t>
      </w:r>
      <w:r w:rsidRPr="00B1436A">
        <w:t>“The framers of the treaties believed in organic development and did not wish to predetermine its course.  But organic growth presupposes a healthy body.  It is this indispensable preliminary condition that has been wanting in Danzig-Polish and Memel-Lithuanian relations from the very onset.</w:t>
      </w:r>
      <w:r>
        <w:t>”  He says much the same on 177:</w:t>
      </w:r>
      <w:r w:rsidRPr="000E31BF">
        <w:rPr>
          <w:i/>
          <w:iCs/>
        </w:rPr>
        <w:t xml:space="preserve"> </w:t>
      </w:r>
      <w:r w:rsidRPr="000E31BF">
        <w:rPr>
          <w:iCs/>
        </w:rPr>
        <w:t>“Inasmuch as this racial antagonism was known to the Peace Conference at Paris, its responsibility becomes all the heavier for having left its settlement of the Danzig-Polish problem unnecessarily vague.”</w:t>
      </w:r>
    </w:p>
  </w:endnote>
  <w:endnote w:id="189">
    <w:p w14:paraId="1BC817EC" w14:textId="77777777" w:rsidR="00A97A17" w:rsidRDefault="00A97A17" w:rsidP="00A97A17">
      <w:pPr>
        <w:pStyle w:val="EndnoteText"/>
      </w:pPr>
      <w:r>
        <w:rPr>
          <w:rStyle w:val="EndnoteReference"/>
        </w:rPr>
        <w:endnoteRef/>
      </w:r>
      <w:r>
        <w:t xml:space="preserve"> Mason, “Status of Danzig” 96-7.</w:t>
      </w:r>
    </w:p>
  </w:endnote>
  <w:endnote w:id="190">
    <w:p w14:paraId="664A76B3" w14:textId="77777777" w:rsidR="00A97A17" w:rsidRPr="00175768" w:rsidRDefault="00A97A17" w:rsidP="00A97A17">
      <w:pPr>
        <w:pStyle w:val="EndnoteText"/>
      </w:pPr>
      <w:r>
        <w:rPr>
          <w:rStyle w:val="EndnoteReference"/>
        </w:rPr>
        <w:endnoteRef/>
      </w:r>
      <w:r>
        <w:t xml:space="preserve"> Eban, </w:t>
      </w:r>
      <w:r>
        <w:rPr>
          <w:i/>
        </w:rPr>
        <w:t xml:space="preserve">Witness, </w:t>
      </w:r>
      <w:r>
        <w:t xml:space="preserve">190.  Graves, </w:t>
      </w:r>
      <w:r>
        <w:rPr>
          <w:i/>
        </w:rPr>
        <w:t xml:space="preserve">Anarchy, </w:t>
      </w:r>
      <w:r>
        <w:t xml:space="preserve">puts it slightly differently.  While leaving the country on his last day there, 27 May 1948, he met with Glubb, commanding officer of the Arab Legion and wrote this: </w:t>
      </w:r>
      <w:r w:rsidRPr="00175768">
        <w:t>“I could not help thinking that his [Glubb] position as a British officer commanding an Arab force at the moment engaged in a war, which could neither be called cold nor hot, with the Jews was rather ambiguous.  But the anomalies of life in Palestine are too numerous to worry about.”</w:t>
      </w:r>
    </w:p>
  </w:endnote>
  <w:endnote w:id="191">
    <w:p w14:paraId="51B8932F" w14:textId="77777777" w:rsidR="00A97A17" w:rsidRDefault="00A97A17" w:rsidP="00A97A17">
      <w:pPr>
        <w:pStyle w:val="EndnoteText"/>
      </w:pPr>
      <w:r>
        <w:rPr>
          <w:rStyle w:val="EndnoteReference"/>
        </w:rPr>
        <w:endnoteRef/>
      </w:r>
      <w:r>
        <w:t xml:space="preserve"> Thomas Kuhn, </w:t>
      </w:r>
      <w:r>
        <w:rPr>
          <w:i/>
        </w:rPr>
        <w:t>The Structure of Scientific Revolutions, 2</w:t>
      </w:r>
      <w:r w:rsidRPr="0082265F">
        <w:rPr>
          <w:i/>
          <w:vertAlign w:val="superscript"/>
        </w:rPr>
        <w:t>nd</w:t>
      </w:r>
      <w:r>
        <w:rPr>
          <w:i/>
        </w:rPr>
        <w:t xml:space="preserve"> Edition, </w:t>
      </w:r>
      <w:r w:rsidRPr="00E54C7B">
        <w:t>Chicago, University of Chicago Press, 1970</w:t>
      </w:r>
      <w:r>
        <w:t>, puts tolerance of anomalies and their eventual illumination at the center of his ideas on how science progresses, particularly in Ch VI “Anomaly and the Emergence of Scientific Discoveries.”</w:t>
      </w:r>
    </w:p>
    <w:p w14:paraId="30F349F7" w14:textId="77777777" w:rsidR="00A97A17" w:rsidRDefault="00A97A17" w:rsidP="00A97A17">
      <w:pPr>
        <w:pStyle w:val="EndnoteText"/>
      </w:pPr>
    </w:p>
    <w:p w14:paraId="0069650C" w14:textId="77777777" w:rsidR="00A97A17" w:rsidRDefault="00A97A17" w:rsidP="00A97A17">
      <w:pPr>
        <w:pStyle w:val="EndnoteText"/>
      </w:pPr>
    </w:p>
    <w:p w14:paraId="66562871" w14:textId="77777777" w:rsidR="00A97A17" w:rsidRDefault="00A97A17" w:rsidP="00A97A17">
      <w:pPr>
        <w:pStyle w:val="EndnoteText"/>
      </w:pPr>
    </w:p>
    <w:p w14:paraId="125A61E7" w14:textId="77777777" w:rsidR="00A97A17" w:rsidRDefault="00A97A17" w:rsidP="00A97A17">
      <w:pPr>
        <w:rPr>
          <w:sz w:val="28"/>
          <w:szCs w:val="28"/>
        </w:rPr>
      </w:pPr>
    </w:p>
    <w:p w14:paraId="306A9D88" w14:textId="77777777" w:rsidR="00A97A17" w:rsidRDefault="00A97A17" w:rsidP="00A97A17">
      <w:pPr>
        <w:rPr>
          <w:sz w:val="28"/>
          <w:szCs w:val="28"/>
        </w:rPr>
      </w:pPr>
      <w:r>
        <w:rPr>
          <w:sz w:val="28"/>
          <w:szCs w:val="28"/>
        </w:rPr>
        <w:t>Works Cited</w:t>
      </w:r>
    </w:p>
    <w:p w14:paraId="052A303E" w14:textId="77777777" w:rsidR="00A97A17" w:rsidRDefault="00A97A17" w:rsidP="00A97A17">
      <w:pPr>
        <w:rPr>
          <w:sz w:val="28"/>
          <w:szCs w:val="28"/>
        </w:rPr>
      </w:pPr>
    </w:p>
    <w:p w14:paraId="3E897917" w14:textId="77777777" w:rsidR="00A97A17" w:rsidRDefault="00A97A17" w:rsidP="00A97A17">
      <w:pPr>
        <w:rPr>
          <w:sz w:val="28"/>
          <w:szCs w:val="28"/>
        </w:rPr>
      </w:pPr>
      <w:r w:rsidRPr="00E01ECD">
        <w:rPr>
          <w:sz w:val="28"/>
          <w:szCs w:val="28"/>
        </w:rPr>
        <w:t>Abuzayyad, Ziad</w:t>
      </w:r>
      <w:r>
        <w:rPr>
          <w:sz w:val="28"/>
          <w:szCs w:val="28"/>
        </w:rPr>
        <w:t>.</w:t>
      </w:r>
      <w:r w:rsidRPr="00E01ECD">
        <w:rPr>
          <w:sz w:val="28"/>
          <w:szCs w:val="28"/>
        </w:rPr>
        <w:t xml:space="preserve"> “The Question of Jerusalem in </w:t>
      </w:r>
      <w:r>
        <w:rPr>
          <w:sz w:val="28"/>
          <w:szCs w:val="28"/>
        </w:rPr>
        <w:t>I</w:t>
      </w:r>
      <w:r w:rsidRPr="00E01ECD">
        <w:rPr>
          <w:sz w:val="28"/>
          <w:szCs w:val="28"/>
        </w:rPr>
        <w:t xml:space="preserve">nternational </w:t>
      </w:r>
      <w:r>
        <w:rPr>
          <w:sz w:val="28"/>
          <w:szCs w:val="28"/>
        </w:rPr>
        <w:t>L</w:t>
      </w:r>
      <w:r w:rsidRPr="00E01ECD">
        <w:rPr>
          <w:sz w:val="28"/>
          <w:szCs w:val="28"/>
        </w:rPr>
        <w:t xml:space="preserve">aw and Member States’ </w:t>
      </w:r>
      <w:r>
        <w:rPr>
          <w:sz w:val="28"/>
          <w:szCs w:val="28"/>
        </w:rPr>
        <w:t>O</w:t>
      </w:r>
      <w:r w:rsidRPr="00E01ECD">
        <w:rPr>
          <w:sz w:val="28"/>
          <w:szCs w:val="28"/>
        </w:rPr>
        <w:t xml:space="preserve">bligations”, a paper presented at The International Conference on the Question of </w:t>
      </w:r>
      <w:r>
        <w:rPr>
          <w:sz w:val="28"/>
          <w:szCs w:val="28"/>
        </w:rPr>
        <w:t>Jerusalem</w:t>
      </w:r>
      <w:r w:rsidRPr="00E01ECD">
        <w:rPr>
          <w:sz w:val="28"/>
          <w:szCs w:val="28"/>
        </w:rPr>
        <w:t>, Rabat, Morocco, 26-28 June 2018.</w:t>
      </w:r>
    </w:p>
    <w:p w14:paraId="3AF73488" w14:textId="77777777" w:rsidR="00A97A17" w:rsidRDefault="00A97A17" w:rsidP="00A97A17">
      <w:pPr>
        <w:rPr>
          <w:sz w:val="28"/>
          <w:szCs w:val="28"/>
        </w:rPr>
      </w:pPr>
    </w:p>
    <w:p w14:paraId="38A722B1" w14:textId="77777777" w:rsidR="00A97A17" w:rsidRDefault="00A97A17" w:rsidP="00A97A17">
      <w:pPr>
        <w:rPr>
          <w:sz w:val="28"/>
          <w:szCs w:val="28"/>
        </w:rPr>
      </w:pPr>
      <w:r w:rsidRPr="00CE545B">
        <w:rPr>
          <w:sz w:val="28"/>
          <w:szCs w:val="28"/>
        </w:rPr>
        <w:t>Azcarate, Pablo de</w:t>
      </w:r>
      <w:r>
        <w:rPr>
          <w:sz w:val="28"/>
          <w:szCs w:val="28"/>
        </w:rPr>
        <w:t>.</w:t>
      </w:r>
      <w:r w:rsidRPr="00CE545B">
        <w:rPr>
          <w:sz w:val="28"/>
          <w:szCs w:val="28"/>
        </w:rPr>
        <w:t xml:space="preserve"> </w:t>
      </w:r>
      <w:r w:rsidRPr="00CE545B">
        <w:rPr>
          <w:i/>
          <w:iCs/>
          <w:sz w:val="28"/>
          <w:szCs w:val="28"/>
        </w:rPr>
        <w:t xml:space="preserve">Mission in Palestine: 1948-1952, </w:t>
      </w:r>
      <w:r w:rsidRPr="00CE545B">
        <w:rPr>
          <w:sz w:val="28"/>
          <w:szCs w:val="28"/>
        </w:rPr>
        <w:t>translated by Teener Hall</w:t>
      </w:r>
      <w:r>
        <w:rPr>
          <w:sz w:val="28"/>
          <w:szCs w:val="28"/>
        </w:rPr>
        <w:t>.</w:t>
      </w:r>
      <w:r w:rsidRPr="00CE545B">
        <w:rPr>
          <w:sz w:val="28"/>
          <w:szCs w:val="28"/>
        </w:rPr>
        <w:t xml:space="preserve"> The Middle East Institute: Washington, D. C. 1966.  First published in Spanish in 1953.</w:t>
      </w:r>
    </w:p>
    <w:p w14:paraId="7EEABF9B" w14:textId="77777777" w:rsidR="00A97A17" w:rsidRDefault="00A97A17" w:rsidP="00A97A17">
      <w:pPr>
        <w:rPr>
          <w:sz w:val="28"/>
          <w:szCs w:val="28"/>
        </w:rPr>
      </w:pPr>
    </w:p>
    <w:p w14:paraId="0EC59F50" w14:textId="77777777" w:rsidR="00A97A17" w:rsidRDefault="00A97A17" w:rsidP="00A97A17">
      <w:pPr>
        <w:rPr>
          <w:sz w:val="28"/>
          <w:szCs w:val="28"/>
        </w:rPr>
      </w:pPr>
      <w:r w:rsidRPr="004F64F6">
        <w:rPr>
          <w:sz w:val="28"/>
          <w:szCs w:val="28"/>
        </w:rPr>
        <w:t>Bailey,</w:t>
      </w:r>
      <w:r>
        <w:rPr>
          <w:sz w:val="28"/>
          <w:szCs w:val="28"/>
        </w:rPr>
        <w:t xml:space="preserve"> </w:t>
      </w:r>
      <w:r w:rsidRPr="004F64F6">
        <w:rPr>
          <w:sz w:val="28"/>
          <w:szCs w:val="28"/>
        </w:rPr>
        <w:t>Sydney D.  “Nonmilitary Areas in UN Practice</w:t>
      </w:r>
      <w:r>
        <w:rPr>
          <w:sz w:val="28"/>
          <w:szCs w:val="28"/>
        </w:rPr>
        <w:t>.</w:t>
      </w:r>
      <w:r w:rsidRPr="004F64F6">
        <w:rPr>
          <w:sz w:val="28"/>
          <w:szCs w:val="28"/>
        </w:rPr>
        <w:t xml:space="preserve">” </w:t>
      </w:r>
      <w:r w:rsidRPr="004F64F6">
        <w:rPr>
          <w:i/>
          <w:sz w:val="28"/>
          <w:szCs w:val="28"/>
        </w:rPr>
        <w:t xml:space="preserve">The American Journal of International Law </w:t>
      </w:r>
      <w:r w:rsidRPr="004F64F6">
        <w:rPr>
          <w:sz w:val="28"/>
          <w:szCs w:val="28"/>
        </w:rPr>
        <w:t xml:space="preserve">74, </w:t>
      </w:r>
      <w:r>
        <w:rPr>
          <w:sz w:val="28"/>
          <w:szCs w:val="28"/>
        </w:rPr>
        <w:t>n</w:t>
      </w:r>
      <w:r w:rsidRPr="004F64F6">
        <w:rPr>
          <w:sz w:val="28"/>
          <w:szCs w:val="28"/>
        </w:rPr>
        <w:t>o. 3 (Jul</w:t>
      </w:r>
      <w:r>
        <w:rPr>
          <w:sz w:val="28"/>
          <w:szCs w:val="28"/>
        </w:rPr>
        <w:t>y</w:t>
      </w:r>
      <w:r w:rsidRPr="004F64F6">
        <w:rPr>
          <w:sz w:val="28"/>
          <w:szCs w:val="28"/>
        </w:rPr>
        <w:t>, 1980)</w:t>
      </w:r>
      <w:r>
        <w:rPr>
          <w:sz w:val="28"/>
          <w:szCs w:val="28"/>
        </w:rPr>
        <w:t>:</w:t>
      </w:r>
      <w:r w:rsidRPr="004F64F6">
        <w:rPr>
          <w:sz w:val="28"/>
          <w:szCs w:val="28"/>
        </w:rPr>
        <w:t xml:space="preserve"> pp. 499-524</w:t>
      </w:r>
      <w:r>
        <w:rPr>
          <w:sz w:val="28"/>
          <w:szCs w:val="28"/>
        </w:rPr>
        <w:t>.</w:t>
      </w:r>
    </w:p>
    <w:p w14:paraId="4E7D793B" w14:textId="77777777" w:rsidR="00A97A17" w:rsidRDefault="00A97A17" w:rsidP="00A97A17">
      <w:pPr>
        <w:rPr>
          <w:sz w:val="28"/>
          <w:szCs w:val="28"/>
        </w:rPr>
      </w:pPr>
    </w:p>
    <w:p w14:paraId="3EA0BCFA" w14:textId="77777777" w:rsidR="00A97A17" w:rsidRDefault="00A97A17" w:rsidP="00A97A17">
      <w:pPr>
        <w:rPr>
          <w:sz w:val="28"/>
          <w:szCs w:val="28"/>
        </w:rPr>
      </w:pPr>
      <w:r w:rsidRPr="00FE2701">
        <w:rPr>
          <w:sz w:val="28"/>
          <w:szCs w:val="28"/>
        </w:rPr>
        <w:t>Benvenisti, Meron</w:t>
      </w:r>
      <w:r>
        <w:rPr>
          <w:sz w:val="28"/>
          <w:szCs w:val="28"/>
        </w:rPr>
        <w:t>.</w:t>
      </w:r>
      <w:r w:rsidRPr="00FE2701">
        <w:rPr>
          <w:sz w:val="28"/>
          <w:szCs w:val="28"/>
        </w:rPr>
        <w:t xml:space="preserve"> </w:t>
      </w:r>
      <w:r w:rsidRPr="00FE2701">
        <w:rPr>
          <w:i/>
          <w:sz w:val="28"/>
          <w:szCs w:val="28"/>
        </w:rPr>
        <w:t>City of Stone: The Hidden History of Jerusalem</w:t>
      </w:r>
      <w:r>
        <w:rPr>
          <w:i/>
          <w:sz w:val="28"/>
          <w:szCs w:val="28"/>
        </w:rPr>
        <w:t>.</w:t>
      </w:r>
      <w:r w:rsidRPr="00FE2701">
        <w:rPr>
          <w:i/>
          <w:sz w:val="28"/>
          <w:szCs w:val="28"/>
        </w:rPr>
        <w:t xml:space="preserve"> </w:t>
      </w:r>
      <w:r w:rsidRPr="00FE2701">
        <w:rPr>
          <w:sz w:val="28"/>
          <w:szCs w:val="28"/>
        </w:rPr>
        <w:t>Trans</w:t>
      </w:r>
      <w:r>
        <w:rPr>
          <w:sz w:val="28"/>
          <w:szCs w:val="28"/>
        </w:rPr>
        <w:t>lated by</w:t>
      </w:r>
      <w:r w:rsidRPr="00FE2701">
        <w:rPr>
          <w:sz w:val="28"/>
          <w:szCs w:val="28"/>
        </w:rPr>
        <w:t xml:space="preserve"> Maxine Nunn</w:t>
      </w:r>
      <w:r>
        <w:rPr>
          <w:sz w:val="28"/>
          <w:szCs w:val="28"/>
        </w:rPr>
        <w:t>.</w:t>
      </w:r>
      <w:r w:rsidRPr="00FE2701">
        <w:rPr>
          <w:sz w:val="28"/>
          <w:szCs w:val="28"/>
        </w:rPr>
        <w:t xml:space="preserve"> Berkley: University of California Press, 1996</w:t>
      </w:r>
    </w:p>
    <w:p w14:paraId="377E95EB" w14:textId="77777777" w:rsidR="00A97A17" w:rsidRDefault="00A97A17" w:rsidP="00A97A17">
      <w:pPr>
        <w:rPr>
          <w:sz w:val="28"/>
          <w:szCs w:val="28"/>
        </w:rPr>
      </w:pPr>
    </w:p>
    <w:p w14:paraId="0E4A1CB6" w14:textId="77777777" w:rsidR="00A97A17" w:rsidRDefault="00A97A17" w:rsidP="00A97A17">
      <w:pPr>
        <w:rPr>
          <w:sz w:val="28"/>
          <w:szCs w:val="28"/>
        </w:rPr>
      </w:pPr>
      <w:r w:rsidRPr="0024685F">
        <w:rPr>
          <w:sz w:val="28"/>
          <w:szCs w:val="28"/>
        </w:rPr>
        <w:t>Berger</w:t>
      </w:r>
      <w:r>
        <w:rPr>
          <w:sz w:val="28"/>
          <w:szCs w:val="28"/>
        </w:rPr>
        <w:t xml:space="preserve">, </w:t>
      </w:r>
      <w:r w:rsidRPr="0024685F">
        <w:rPr>
          <w:sz w:val="28"/>
          <w:szCs w:val="28"/>
        </w:rPr>
        <w:t>Peter</w:t>
      </w:r>
      <w:r>
        <w:rPr>
          <w:sz w:val="28"/>
          <w:szCs w:val="28"/>
        </w:rPr>
        <w:t xml:space="preserve">. </w:t>
      </w:r>
      <w:r w:rsidRPr="0024685F">
        <w:rPr>
          <w:sz w:val="28"/>
          <w:szCs w:val="28"/>
        </w:rPr>
        <w:t>“The Internationalization of J</w:t>
      </w:r>
      <w:r>
        <w:rPr>
          <w:sz w:val="28"/>
          <w:szCs w:val="28"/>
        </w:rPr>
        <w:t>erusa</w:t>
      </w:r>
      <w:r w:rsidRPr="0024685F">
        <w:rPr>
          <w:sz w:val="28"/>
          <w:szCs w:val="28"/>
        </w:rPr>
        <w:t>l</w:t>
      </w:r>
      <w:r>
        <w:rPr>
          <w:sz w:val="28"/>
          <w:szCs w:val="28"/>
        </w:rPr>
        <w:t>e</w:t>
      </w:r>
      <w:r w:rsidRPr="0024685F">
        <w:rPr>
          <w:sz w:val="28"/>
          <w:szCs w:val="28"/>
        </w:rPr>
        <w:t>m</w:t>
      </w:r>
      <w:r>
        <w:rPr>
          <w:sz w:val="28"/>
          <w:szCs w:val="28"/>
        </w:rPr>
        <w:t>.</w:t>
      </w:r>
      <w:r w:rsidRPr="0024685F">
        <w:rPr>
          <w:sz w:val="28"/>
          <w:szCs w:val="28"/>
        </w:rPr>
        <w:t xml:space="preserve">” </w:t>
      </w:r>
      <w:r w:rsidRPr="0024685F">
        <w:rPr>
          <w:i/>
          <w:sz w:val="28"/>
          <w:szCs w:val="28"/>
        </w:rPr>
        <w:t xml:space="preserve">Jurist </w:t>
      </w:r>
      <w:r w:rsidRPr="0024685F">
        <w:rPr>
          <w:sz w:val="28"/>
          <w:szCs w:val="28"/>
        </w:rPr>
        <w:t>10, (1950): 357</w:t>
      </w:r>
      <w:r>
        <w:rPr>
          <w:sz w:val="28"/>
          <w:szCs w:val="28"/>
        </w:rPr>
        <w:t>-387.</w:t>
      </w:r>
    </w:p>
    <w:p w14:paraId="4C3C1868" w14:textId="77777777" w:rsidR="00A97A17" w:rsidRDefault="00A97A17" w:rsidP="00A97A17">
      <w:pPr>
        <w:rPr>
          <w:sz w:val="28"/>
          <w:szCs w:val="28"/>
        </w:rPr>
      </w:pPr>
    </w:p>
    <w:p w14:paraId="388120A7" w14:textId="77777777" w:rsidR="00A97A17" w:rsidRPr="00B43194" w:rsidRDefault="00A97A17" w:rsidP="00A97A17">
      <w:pPr>
        <w:rPr>
          <w:sz w:val="28"/>
          <w:szCs w:val="28"/>
        </w:rPr>
      </w:pPr>
      <w:r w:rsidRPr="00B43194">
        <w:rPr>
          <w:sz w:val="28"/>
          <w:szCs w:val="28"/>
        </w:rPr>
        <w:t>Bernadotte, Folke</w:t>
      </w:r>
      <w:r>
        <w:rPr>
          <w:sz w:val="28"/>
          <w:szCs w:val="28"/>
        </w:rPr>
        <w:t>.</w:t>
      </w:r>
      <w:r w:rsidRPr="00B43194">
        <w:rPr>
          <w:sz w:val="28"/>
          <w:szCs w:val="28"/>
        </w:rPr>
        <w:t xml:space="preserve"> </w:t>
      </w:r>
      <w:r w:rsidRPr="00B43194">
        <w:rPr>
          <w:i/>
          <w:sz w:val="28"/>
          <w:szCs w:val="28"/>
        </w:rPr>
        <w:t xml:space="preserve">To Jerusalem, </w:t>
      </w:r>
      <w:r w:rsidRPr="00B43194">
        <w:rPr>
          <w:sz w:val="28"/>
          <w:szCs w:val="28"/>
        </w:rPr>
        <w:t>translated from the Swedish by Joan Bulman</w:t>
      </w:r>
      <w:r>
        <w:rPr>
          <w:sz w:val="28"/>
          <w:szCs w:val="28"/>
        </w:rPr>
        <w:t>.</w:t>
      </w:r>
      <w:r w:rsidRPr="00B43194">
        <w:rPr>
          <w:sz w:val="28"/>
          <w:szCs w:val="28"/>
        </w:rPr>
        <w:t xml:space="preserve"> London: Hodder and Stoughton, 1951.</w:t>
      </w:r>
    </w:p>
    <w:p w14:paraId="4CCE7C76" w14:textId="77777777" w:rsidR="00A97A17" w:rsidRDefault="00A97A17" w:rsidP="00A97A17">
      <w:pPr>
        <w:rPr>
          <w:sz w:val="28"/>
          <w:szCs w:val="28"/>
        </w:rPr>
      </w:pPr>
    </w:p>
    <w:p w14:paraId="288993E2" w14:textId="77777777" w:rsidR="00A97A17" w:rsidRDefault="00A97A17" w:rsidP="00A97A17">
      <w:pPr>
        <w:rPr>
          <w:sz w:val="28"/>
          <w:szCs w:val="28"/>
        </w:rPr>
      </w:pPr>
      <w:r w:rsidRPr="00B325A9">
        <w:rPr>
          <w:sz w:val="28"/>
          <w:szCs w:val="28"/>
        </w:rPr>
        <w:t>Birdsall, Paul</w:t>
      </w:r>
      <w:r>
        <w:rPr>
          <w:sz w:val="28"/>
          <w:szCs w:val="28"/>
        </w:rPr>
        <w:t>.</w:t>
      </w:r>
      <w:r w:rsidRPr="00B325A9">
        <w:rPr>
          <w:sz w:val="28"/>
          <w:szCs w:val="28"/>
        </w:rPr>
        <w:t xml:space="preserve"> </w:t>
      </w:r>
      <w:r w:rsidRPr="00B325A9">
        <w:rPr>
          <w:i/>
          <w:sz w:val="28"/>
          <w:szCs w:val="28"/>
        </w:rPr>
        <w:t>Versailles Twenty Years After</w:t>
      </w:r>
      <w:r>
        <w:rPr>
          <w:i/>
          <w:sz w:val="28"/>
          <w:szCs w:val="28"/>
        </w:rPr>
        <w:t>.</w:t>
      </w:r>
      <w:r w:rsidRPr="00B325A9">
        <w:rPr>
          <w:i/>
          <w:sz w:val="28"/>
          <w:szCs w:val="28"/>
        </w:rPr>
        <w:t xml:space="preserve"> </w:t>
      </w:r>
      <w:r w:rsidRPr="00B325A9">
        <w:rPr>
          <w:sz w:val="28"/>
          <w:szCs w:val="28"/>
        </w:rPr>
        <w:t>Hamden, Conn: Archon Books, 1962, first pub 1941</w:t>
      </w:r>
      <w:r>
        <w:rPr>
          <w:sz w:val="28"/>
          <w:szCs w:val="28"/>
        </w:rPr>
        <w:t>.</w:t>
      </w:r>
    </w:p>
    <w:p w14:paraId="40FB16D9" w14:textId="77777777" w:rsidR="00A97A17" w:rsidRDefault="00A97A17" w:rsidP="00A97A17">
      <w:pPr>
        <w:rPr>
          <w:sz w:val="28"/>
          <w:szCs w:val="28"/>
        </w:rPr>
      </w:pPr>
    </w:p>
    <w:p w14:paraId="7BA86330" w14:textId="77777777" w:rsidR="00A97A17" w:rsidRPr="00887663" w:rsidRDefault="00A97A17" w:rsidP="00A97A17">
      <w:pPr>
        <w:rPr>
          <w:sz w:val="28"/>
          <w:szCs w:val="28"/>
        </w:rPr>
      </w:pPr>
      <w:r w:rsidRPr="00887663">
        <w:rPr>
          <w:sz w:val="28"/>
          <w:szCs w:val="28"/>
        </w:rPr>
        <w:t>Bourquin, Maurice</w:t>
      </w:r>
      <w:r>
        <w:rPr>
          <w:sz w:val="28"/>
          <w:szCs w:val="28"/>
        </w:rPr>
        <w:t>.</w:t>
      </w:r>
      <w:r w:rsidRPr="00887663">
        <w:rPr>
          <w:sz w:val="28"/>
          <w:szCs w:val="28"/>
        </w:rPr>
        <w:t xml:space="preserve"> “Dynamism and the Machinery of International Institutions: A Critical Study of a Twenty Years’ Experiment</w:t>
      </w:r>
      <w:r>
        <w:rPr>
          <w:sz w:val="28"/>
          <w:szCs w:val="28"/>
        </w:rPr>
        <w:t>.</w:t>
      </w:r>
      <w:r w:rsidRPr="00887663">
        <w:rPr>
          <w:sz w:val="28"/>
          <w:szCs w:val="28"/>
        </w:rPr>
        <w:t xml:space="preserve">” </w:t>
      </w:r>
      <w:r w:rsidRPr="00887663">
        <w:rPr>
          <w:i/>
          <w:sz w:val="28"/>
          <w:szCs w:val="28"/>
        </w:rPr>
        <w:t xml:space="preserve">Geneva Studies XI, </w:t>
      </w:r>
      <w:r w:rsidRPr="00887663">
        <w:rPr>
          <w:sz w:val="28"/>
          <w:szCs w:val="28"/>
        </w:rPr>
        <w:t>no. 5, September, 1940</w:t>
      </w:r>
      <w:r>
        <w:rPr>
          <w:sz w:val="28"/>
          <w:szCs w:val="28"/>
        </w:rPr>
        <w:t>.</w:t>
      </w:r>
    </w:p>
    <w:p w14:paraId="05F218E9" w14:textId="77777777" w:rsidR="00A97A17" w:rsidRDefault="00A97A17" w:rsidP="00A97A17">
      <w:pPr>
        <w:rPr>
          <w:sz w:val="28"/>
          <w:szCs w:val="28"/>
        </w:rPr>
      </w:pPr>
    </w:p>
    <w:p w14:paraId="33B2487C" w14:textId="77777777" w:rsidR="00A97A17" w:rsidRDefault="00A97A17" w:rsidP="00A97A17">
      <w:pPr>
        <w:rPr>
          <w:sz w:val="28"/>
          <w:szCs w:val="28"/>
        </w:rPr>
      </w:pPr>
      <w:r>
        <w:rPr>
          <w:sz w:val="28"/>
          <w:szCs w:val="28"/>
        </w:rPr>
        <w:t xml:space="preserve">Chamedes, Giuliana. </w:t>
      </w:r>
      <w:r>
        <w:rPr>
          <w:i/>
          <w:sz w:val="28"/>
          <w:szCs w:val="28"/>
        </w:rPr>
        <w:t xml:space="preserve">A Twentieth Century Crusade: The Vatican’s Battle to Remake Christian Europe. </w:t>
      </w:r>
      <w:r>
        <w:rPr>
          <w:sz w:val="28"/>
          <w:szCs w:val="28"/>
        </w:rPr>
        <w:t>Cambridge: Harvard University Press, 2019.</w:t>
      </w:r>
    </w:p>
    <w:p w14:paraId="59938C78" w14:textId="77777777" w:rsidR="00A97A17" w:rsidRDefault="00A97A17" w:rsidP="00A97A17">
      <w:pPr>
        <w:rPr>
          <w:sz w:val="28"/>
          <w:szCs w:val="28"/>
        </w:rPr>
      </w:pPr>
    </w:p>
    <w:p w14:paraId="0C80C61E" w14:textId="77777777" w:rsidR="00A97A17" w:rsidRDefault="00A97A17" w:rsidP="00A97A17">
      <w:pPr>
        <w:rPr>
          <w:sz w:val="28"/>
          <w:szCs w:val="28"/>
        </w:rPr>
      </w:pPr>
      <w:r w:rsidRPr="00B64CBE">
        <w:rPr>
          <w:sz w:val="28"/>
          <w:szCs w:val="28"/>
        </w:rPr>
        <w:t>Chapman,</w:t>
      </w:r>
      <w:r>
        <w:rPr>
          <w:sz w:val="28"/>
          <w:szCs w:val="28"/>
        </w:rPr>
        <w:t xml:space="preserve"> </w:t>
      </w:r>
      <w:r w:rsidRPr="00B64CBE">
        <w:rPr>
          <w:sz w:val="28"/>
          <w:szCs w:val="28"/>
        </w:rPr>
        <w:t>B. Burgoyne</w:t>
      </w:r>
      <w:r>
        <w:rPr>
          <w:sz w:val="28"/>
          <w:szCs w:val="28"/>
        </w:rPr>
        <w:t>.</w:t>
      </w:r>
      <w:r w:rsidRPr="00B64CBE">
        <w:rPr>
          <w:sz w:val="28"/>
          <w:szCs w:val="28"/>
        </w:rPr>
        <w:t xml:space="preserve"> “The Place of Jerusalem in the State of Israel</w:t>
      </w:r>
      <w:r>
        <w:rPr>
          <w:sz w:val="28"/>
          <w:szCs w:val="28"/>
        </w:rPr>
        <w:t>.</w:t>
      </w:r>
      <w:r w:rsidRPr="00B64CBE">
        <w:rPr>
          <w:sz w:val="28"/>
          <w:szCs w:val="28"/>
        </w:rPr>
        <w:t xml:space="preserve">” </w:t>
      </w:r>
      <w:r w:rsidRPr="00B64CBE">
        <w:rPr>
          <w:i/>
          <w:sz w:val="28"/>
          <w:szCs w:val="28"/>
        </w:rPr>
        <w:t xml:space="preserve">The Australian Quarterly </w:t>
      </w:r>
      <w:r w:rsidRPr="00B64CBE">
        <w:rPr>
          <w:sz w:val="28"/>
          <w:szCs w:val="28"/>
        </w:rPr>
        <w:t xml:space="preserve">21, </w:t>
      </w:r>
      <w:r>
        <w:rPr>
          <w:sz w:val="28"/>
          <w:szCs w:val="28"/>
        </w:rPr>
        <w:t>n</w:t>
      </w:r>
      <w:r w:rsidRPr="00B64CBE">
        <w:rPr>
          <w:sz w:val="28"/>
          <w:szCs w:val="28"/>
        </w:rPr>
        <w:t>o. 4 (Dec., 1949)</w:t>
      </w:r>
      <w:r>
        <w:rPr>
          <w:sz w:val="28"/>
          <w:szCs w:val="28"/>
        </w:rPr>
        <w:t>:</w:t>
      </w:r>
      <w:r w:rsidRPr="00B64CBE">
        <w:rPr>
          <w:sz w:val="28"/>
          <w:szCs w:val="28"/>
        </w:rPr>
        <w:t xml:space="preserve"> pp. 85-95</w:t>
      </w:r>
      <w:r>
        <w:rPr>
          <w:sz w:val="28"/>
          <w:szCs w:val="28"/>
        </w:rPr>
        <w:t>.</w:t>
      </w:r>
    </w:p>
    <w:p w14:paraId="433D1D4D" w14:textId="77777777" w:rsidR="00A97A17" w:rsidRDefault="00A97A17" w:rsidP="00A97A17">
      <w:pPr>
        <w:rPr>
          <w:sz w:val="28"/>
          <w:szCs w:val="28"/>
        </w:rPr>
      </w:pPr>
    </w:p>
    <w:p w14:paraId="1A99F9DA" w14:textId="77777777" w:rsidR="00A97A17" w:rsidRPr="00840A6A" w:rsidRDefault="00A97A17" w:rsidP="00A97A17">
      <w:pPr>
        <w:rPr>
          <w:sz w:val="28"/>
          <w:szCs w:val="28"/>
        </w:rPr>
      </w:pPr>
      <w:r w:rsidRPr="00840A6A">
        <w:rPr>
          <w:sz w:val="28"/>
          <w:szCs w:val="28"/>
        </w:rPr>
        <w:t xml:space="preserve">Dawson, William H. </w:t>
      </w:r>
      <w:r w:rsidRPr="00840A6A">
        <w:rPr>
          <w:i/>
          <w:sz w:val="28"/>
          <w:szCs w:val="28"/>
        </w:rPr>
        <w:t>Germany Under the Treaty</w:t>
      </w:r>
      <w:r>
        <w:rPr>
          <w:i/>
          <w:sz w:val="28"/>
          <w:szCs w:val="28"/>
        </w:rPr>
        <w:t>.</w:t>
      </w:r>
      <w:r w:rsidRPr="00840A6A">
        <w:rPr>
          <w:i/>
          <w:sz w:val="28"/>
          <w:szCs w:val="28"/>
        </w:rPr>
        <w:t xml:space="preserve"> </w:t>
      </w:r>
      <w:r w:rsidRPr="00840A6A">
        <w:rPr>
          <w:sz w:val="28"/>
          <w:szCs w:val="28"/>
        </w:rPr>
        <w:t>London: G. Allen and Unwin Ltd., 1933</w:t>
      </w:r>
      <w:r>
        <w:rPr>
          <w:sz w:val="28"/>
          <w:szCs w:val="28"/>
        </w:rPr>
        <w:t>.</w:t>
      </w:r>
    </w:p>
    <w:p w14:paraId="2012E2BC" w14:textId="77777777" w:rsidR="00A97A17" w:rsidRDefault="00A97A17" w:rsidP="00A97A17">
      <w:pPr>
        <w:rPr>
          <w:sz w:val="28"/>
          <w:szCs w:val="28"/>
        </w:rPr>
      </w:pPr>
    </w:p>
    <w:p w14:paraId="0F91052A" w14:textId="77777777" w:rsidR="00A97A17" w:rsidRDefault="00A97A17" w:rsidP="00A97A17">
      <w:pPr>
        <w:rPr>
          <w:sz w:val="28"/>
          <w:szCs w:val="28"/>
        </w:rPr>
      </w:pPr>
      <w:r w:rsidRPr="00840A6A">
        <w:rPr>
          <w:sz w:val="28"/>
          <w:szCs w:val="28"/>
        </w:rPr>
        <w:t>Dean,</w:t>
      </w:r>
      <w:r>
        <w:rPr>
          <w:sz w:val="28"/>
          <w:szCs w:val="28"/>
        </w:rPr>
        <w:t xml:space="preserve"> </w:t>
      </w:r>
      <w:r w:rsidRPr="00840A6A">
        <w:rPr>
          <w:sz w:val="28"/>
          <w:szCs w:val="28"/>
        </w:rPr>
        <w:t>Edgar Packard</w:t>
      </w:r>
      <w:r>
        <w:rPr>
          <w:sz w:val="28"/>
          <w:szCs w:val="28"/>
        </w:rPr>
        <w:t>.</w:t>
      </w:r>
      <w:r w:rsidRPr="00840A6A">
        <w:rPr>
          <w:sz w:val="28"/>
          <w:szCs w:val="28"/>
        </w:rPr>
        <w:t xml:space="preserve"> </w:t>
      </w:r>
      <w:r>
        <w:rPr>
          <w:sz w:val="28"/>
          <w:szCs w:val="28"/>
        </w:rPr>
        <w:t>“</w:t>
      </w:r>
      <w:r w:rsidRPr="00840A6A">
        <w:rPr>
          <w:sz w:val="28"/>
          <w:szCs w:val="28"/>
        </w:rPr>
        <w:t>Again the Memel Question</w:t>
      </w:r>
      <w:r>
        <w:rPr>
          <w:sz w:val="28"/>
          <w:szCs w:val="28"/>
        </w:rPr>
        <w:t>.”</w:t>
      </w:r>
      <w:r w:rsidRPr="00840A6A">
        <w:rPr>
          <w:sz w:val="28"/>
          <w:szCs w:val="28"/>
        </w:rPr>
        <w:t xml:space="preserve"> </w:t>
      </w:r>
      <w:r w:rsidRPr="00380820">
        <w:rPr>
          <w:i/>
          <w:sz w:val="28"/>
          <w:szCs w:val="28"/>
        </w:rPr>
        <w:t>Foreign Affairs</w:t>
      </w:r>
      <w:r>
        <w:rPr>
          <w:i/>
          <w:sz w:val="28"/>
          <w:szCs w:val="28"/>
        </w:rPr>
        <w:t xml:space="preserve"> 13</w:t>
      </w:r>
      <w:r w:rsidRPr="00840A6A">
        <w:rPr>
          <w:sz w:val="28"/>
          <w:szCs w:val="28"/>
        </w:rPr>
        <w:t xml:space="preserve"> (1935)</w:t>
      </w:r>
      <w:r>
        <w:rPr>
          <w:sz w:val="28"/>
          <w:szCs w:val="28"/>
        </w:rPr>
        <w:t>: 695-698.</w:t>
      </w:r>
    </w:p>
    <w:p w14:paraId="497FDEF2" w14:textId="77777777" w:rsidR="00A97A17" w:rsidRDefault="00A97A17" w:rsidP="00A97A17">
      <w:pPr>
        <w:rPr>
          <w:sz w:val="28"/>
          <w:szCs w:val="28"/>
        </w:rPr>
      </w:pPr>
    </w:p>
    <w:p w14:paraId="4998B6B7" w14:textId="77777777" w:rsidR="00A97A17" w:rsidRDefault="00A97A17" w:rsidP="00A97A17">
      <w:pPr>
        <w:rPr>
          <w:sz w:val="28"/>
          <w:szCs w:val="28"/>
        </w:rPr>
      </w:pPr>
      <w:r w:rsidRPr="000B6417">
        <w:rPr>
          <w:sz w:val="28"/>
          <w:szCs w:val="28"/>
        </w:rPr>
        <w:t>Dell, Robert</w:t>
      </w:r>
      <w:r>
        <w:rPr>
          <w:sz w:val="28"/>
          <w:szCs w:val="28"/>
        </w:rPr>
        <w:t>.</w:t>
      </w:r>
      <w:r w:rsidRPr="000B6417">
        <w:rPr>
          <w:sz w:val="28"/>
          <w:szCs w:val="28"/>
        </w:rPr>
        <w:t xml:space="preserve"> </w:t>
      </w:r>
      <w:r w:rsidRPr="000B6417">
        <w:rPr>
          <w:i/>
          <w:sz w:val="28"/>
          <w:szCs w:val="28"/>
        </w:rPr>
        <w:t>The Geneva Racket: 1920-193</w:t>
      </w:r>
      <w:r>
        <w:rPr>
          <w:i/>
          <w:sz w:val="28"/>
          <w:szCs w:val="28"/>
        </w:rPr>
        <w:t xml:space="preserve">9. </w:t>
      </w:r>
      <w:r w:rsidRPr="000B6417">
        <w:rPr>
          <w:sz w:val="28"/>
          <w:szCs w:val="28"/>
        </w:rPr>
        <w:t>London: Robert Hale Ltd, 1941</w:t>
      </w:r>
      <w:r>
        <w:rPr>
          <w:sz w:val="28"/>
          <w:szCs w:val="28"/>
        </w:rPr>
        <w:t>.</w:t>
      </w:r>
    </w:p>
    <w:p w14:paraId="02A66B4B" w14:textId="77777777" w:rsidR="00A97A17" w:rsidRDefault="00A97A17" w:rsidP="00A97A17">
      <w:pPr>
        <w:rPr>
          <w:sz w:val="28"/>
          <w:szCs w:val="28"/>
        </w:rPr>
      </w:pPr>
    </w:p>
    <w:p w14:paraId="456EC36F" w14:textId="77777777" w:rsidR="00A97A17" w:rsidRDefault="00A97A17" w:rsidP="00A97A17">
      <w:pPr>
        <w:rPr>
          <w:sz w:val="28"/>
          <w:szCs w:val="28"/>
        </w:rPr>
      </w:pPr>
      <w:r w:rsidRPr="001218C5">
        <w:rPr>
          <w:sz w:val="28"/>
          <w:szCs w:val="28"/>
        </w:rPr>
        <w:t>Eban, Abba</w:t>
      </w:r>
      <w:r>
        <w:rPr>
          <w:sz w:val="28"/>
          <w:szCs w:val="28"/>
        </w:rPr>
        <w:t>.</w:t>
      </w:r>
      <w:r w:rsidRPr="001218C5">
        <w:rPr>
          <w:sz w:val="28"/>
          <w:szCs w:val="28"/>
        </w:rPr>
        <w:t xml:space="preserve"> </w:t>
      </w:r>
      <w:r w:rsidRPr="001218C5">
        <w:rPr>
          <w:i/>
          <w:sz w:val="28"/>
          <w:szCs w:val="28"/>
        </w:rPr>
        <w:t>Personal Witness: Israel Through My Eyes</w:t>
      </w:r>
      <w:r>
        <w:rPr>
          <w:i/>
          <w:sz w:val="28"/>
          <w:szCs w:val="28"/>
        </w:rPr>
        <w:t>.</w:t>
      </w:r>
      <w:r w:rsidRPr="001218C5">
        <w:rPr>
          <w:i/>
          <w:sz w:val="28"/>
          <w:szCs w:val="28"/>
        </w:rPr>
        <w:t xml:space="preserve"> </w:t>
      </w:r>
      <w:r w:rsidRPr="001218C5">
        <w:rPr>
          <w:sz w:val="28"/>
          <w:szCs w:val="28"/>
        </w:rPr>
        <w:t>NY, NY: G.P. Putnam’s Sons, 1992</w:t>
      </w:r>
      <w:r>
        <w:rPr>
          <w:sz w:val="28"/>
          <w:szCs w:val="28"/>
        </w:rPr>
        <w:t>.</w:t>
      </w:r>
    </w:p>
    <w:p w14:paraId="454C5317" w14:textId="77777777" w:rsidR="00A97A17" w:rsidRDefault="00A97A17" w:rsidP="00A97A17">
      <w:pPr>
        <w:rPr>
          <w:sz w:val="28"/>
          <w:szCs w:val="28"/>
        </w:rPr>
      </w:pPr>
    </w:p>
    <w:p w14:paraId="1C1C7B11" w14:textId="77777777" w:rsidR="00A97A17" w:rsidRDefault="00A97A17" w:rsidP="00A97A17">
      <w:pPr>
        <w:rPr>
          <w:sz w:val="28"/>
          <w:szCs w:val="28"/>
        </w:rPr>
      </w:pPr>
      <w:r w:rsidRPr="006E3264">
        <w:rPr>
          <w:sz w:val="28"/>
          <w:szCs w:val="28"/>
        </w:rPr>
        <w:t xml:space="preserve">Florinsky, Michael T. </w:t>
      </w:r>
      <w:r w:rsidRPr="006E3264">
        <w:rPr>
          <w:i/>
          <w:sz w:val="28"/>
          <w:szCs w:val="28"/>
        </w:rPr>
        <w:t>The Saar Struggle</w:t>
      </w:r>
      <w:r>
        <w:rPr>
          <w:i/>
          <w:sz w:val="28"/>
          <w:szCs w:val="28"/>
        </w:rPr>
        <w:t>.</w:t>
      </w:r>
      <w:r w:rsidRPr="006E3264">
        <w:rPr>
          <w:i/>
          <w:sz w:val="28"/>
          <w:szCs w:val="28"/>
        </w:rPr>
        <w:t xml:space="preserve"> </w:t>
      </w:r>
      <w:r w:rsidRPr="006E3264">
        <w:rPr>
          <w:sz w:val="28"/>
          <w:szCs w:val="28"/>
        </w:rPr>
        <w:t>New York: The Macmillan Co, 1934</w:t>
      </w:r>
      <w:r>
        <w:rPr>
          <w:sz w:val="28"/>
          <w:szCs w:val="28"/>
        </w:rPr>
        <w:t>.</w:t>
      </w:r>
    </w:p>
    <w:p w14:paraId="0BA9E943" w14:textId="77777777" w:rsidR="00A97A17" w:rsidRDefault="00A97A17" w:rsidP="00A97A17">
      <w:pPr>
        <w:rPr>
          <w:sz w:val="28"/>
          <w:szCs w:val="28"/>
        </w:rPr>
      </w:pPr>
    </w:p>
    <w:p w14:paraId="106657A8" w14:textId="77777777" w:rsidR="00A97A17" w:rsidRPr="00705C25" w:rsidRDefault="00A97A17" w:rsidP="00A97A17">
      <w:pPr>
        <w:rPr>
          <w:sz w:val="28"/>
          <w:szCs w:val="28"/>
        </w:rPr>
      </w:pPr>
      <w:r w:rsidRPr="00705C25">
        <w:rPr>
          <w:sz w:val="28"/>
          <w:szCs w:val="28"/>
        </w:rPr>
        <w:t>Freud, Sigmund</w:t>
      </w:r>
      <w:r>
        <w:rPr>
          <w:sz w:val="28"/>
          <w:szCs w:val="28"/>
        </w:rPr>
        <w:t>.</w:t>
      </w:r>
      <w:r w:rsidRPr="00705C25">
        <w:rPr>
          <w:sz w:val="28"/>
          <w:szCs w:val="28"/>
        </w:rPr>
        <w:t xml:space="preserve"> "Why War</w:t>
      </w:r>
      <w:r>
        <w:rPr>
          <w:sz w:val="28"/>
          <w:szCs w:val="28"/>
        </w:rPr>
        <w:t>.</w:t>
      </w:r>
      <w:r w:rsidRPr="00705C25">
        <w:rPr>
          <w:sz w:val="28"/>
          <w:szCs w:val="28"/>
        </w:rPr>
        <w:t>" Free World 11, no. 4 (April 1946): 18-24</w:t>
      </w:r>
      <w:r>
        <w:rPr>
          <w:sz w:val="28"/>
          <w:szCs w:val="28"/>
        </w:rPr>
        <w:t>.</w:t>
      </w:r>
    </w:p>
    <w:p w14:paraId="413D70DE" w14:textId="77777777" w:rsidR="00A97A17" w:rsidRDefault="00A97A17" w:rsidP="00A97A17">
      <w:pPr>
        <w:rPr>
          <w:sz w:val="28"/>
          <w:szCs w:val="28"/>
        </w:rPr>
      </w:pPr>
    </w:p>
    <w:p w14:paraId="6D1FCE43" w14:textId="77777777" w:rsidR="00A97A17" w:rsidRDefault="00A97A17" w:rsidP="00A97A17">
      <w:pPr>
        <w:rPr>
          <w:sz w:val="28"/>
          <w:szCs w:val="28"/>
        </w:rPr>
      </w:pPr>
      <w:hyperlink r:id="rId3" w:history="1">
        <w:r w:rsidRPr="00C32022">
          <w:rPr>
            <w:rStyle w:val="Hyperlink"/>
            <w:sz w:val="28"/>
            <w:szCs w:val="28"/>
          </w:rPr>
          <w:t>“Further Consideration of the Question of the Future Government of Palestine”</w:t>
        </w:r>
      </w:hyperlink>
    </w:p>
    <w:p w14:paraId="7838C378" w14:textId="77777777" w:rsidR="00A97A17" w:rsidRDefault="00A97A17" w:rsidP="00A97A17">
      <w:pPr>
        <w:rPr>
          <w:sz w:val="28"/>
          <w:szCs w:val="28"/>
        </w:rPr>
      </w:pPr>
      <w:r>
        <w:rPr>
          <w:sz w:val="28"/>
          <w:szCs w:val="28"/>
        </w:rPr>
        <w:t>A/544, 5 May 1948.</w:t>
      </w:r>
    </w:p>
    <w:p w14:paraId="34AFB86C" w14:textId="77777777" w:rsidR="00A97A17" w:rsidRDefault="00A97A17" w:rsidP="00A97A17">
      <w:pPr>
        <w:rPr>
          <w:sz w:val="28"/>
          <w:szCs w:val="28"/>
        </w:rPr>
      </w:pPr>
    </w:p>
    <w:p w14:paraId="5442DB61" w14:textId="77777777" w:rsidR="00A97A17" w:rsidRDefault="00A97A17" w:rsidP="00A97A17">
      <w:pPr>
        <w:rPr>
          <w:sz w:val="28"/>
          <w:szCs w:val="28"/>
        </w:rPr>
      </w:pPr>
      <w:r w:rsidRPr="00863D60">
        <w:rPr>
          <w:sz w:val="28"/>
          <w:szCs w:val="28"/>
        </w:rPr>
        <w:t xml:space="preserve">Graves, R. M. </w:t>
      </w:r>
      <w:r w:rsidRPr="00863D60">
        <w:rPr>
          <w:i/>
          <w:sz w:val="28"/>
          <w:szCs w:val="28"/>
        </w:rPr>
        <w:t>Experiment in Anarchy</w:t>
      </w:r>
      <w:r>
        <w:rPr>
          <w:i/>
          <w:sz w:val="28"/>
          <w:szCs w:val="28"/>
        </w:rPr>
        <w:t>.</w:t>
      </w:r>
      <w:r w:rsidRPr="00863D60">
        <w:rPr>
          <w:i/>
          <w:sz w:val="28"/>
          <w:szCs w:val="28"/>
        </w:rPr>
        <w:t xml:space="preserve"> </w:t>
      </w:r>
      <w:r w:rsidRPr="00863D60">
        <w:rPr>
          <w:sz w:val="28"/>
          <w:szCs w:val="28"/>
        </w:rPr>
        <w:t>London: Victor Gollancz</w:t>
      </w:r>
      <w:r>
        <w:rPr>
          <w:sz w:val="28"/>
          <w:szCs w:val="28"/>
        </w:rPr>
        <w:t>,</w:t>
      </w:r>
      <w:r w:rsidRPr="00863D60">
        <w:rPr>
          <w:sz w:val="28"/>
          <w:szCs w:val="28"/>
        </w:rPr>
        <w:t xml:space="preserve"> Ltd, 1949</w:t>
      </w:r>
      <w:r>
        <w:rPr>
          <w:sz w:val="28"/>
          <w:szCs w:val="28"/>
        </w:rPr>
        <w:t>.</w:t>
      </w:r>
    </w:p>
    <w:p w14:paraId="23E6F168" w14:textId="77777777" w:rsidR="00A97A17" w:rsidRDefault="00A97A17" w:rsidP="00A97A17">
      <w:pPr>
        <w:rPr>
          <w:sz w:val="28"/>
          <w:szCs w:val="28"/>
        </w:rPr>
      </w:pPr>
    </w:p>
    <w:p w14:paraId="6DC7DC19" w14:textId="77777777" w:rsidR="00A97A17" w:rsidRPr="00D029C7" w:rsidRDefault="00A97A17" w:rsidP="00A97A17">
      <w:pPr>
        <w:rPr>
          <w:sz w:val="28"/>
          <w:szCs w:val="28"/>
        </w:rPr>
      </w:pPr>
      <w:r>
        <w:rPr>
          <w:sz w:val="28"/>
          <w:szCs w:val="28"/>
        </w:rPr>
        <w:t xml:space="preserve">Hailey, Lord, reviewer of de la Roche, Jean. </w:t>
      </w:r>
      <w:r>
        <w:rPr>
          <w:i/>
          <w:sz w:val="28"/>
          <w:szCs w:val="28"/>
        </w:rPr>
        <w:t xml:space="preserve">The Future of Colonial Peoples </w:t>
      </w:r>
      <w:r>
        <w:rPr>
          <w:sz w:val="28"/>
          <w:szCs w:val="28"/>
        </w:rPr>
        <w:t xml:space="preserve">in </w:t>
      </w:r>
      <w:r w:rsidRPr="00D029C7">
        <w:rPr>
          <w:i/>
          <w:sz w:val="28"/>
          <w:szCs w:val="28"/>
        </w:rPr>
        <w:t>Pacific Affairs</w:t>
      </w:r>
      <w:r w:rsidRPr="00D029C7">
        <w:rPr>
          <w:sz w:val="28"/>
          <w:szCs w:val="28"/>
        </w:rPr>
        <w:t xml:space="preserve"> 17, </w:t>
      </w:r>
      <w:r>
        <w:rPr>
          <w:sz w:val="28"/>
          <w:szCs w:val="28"/>
        </w:rPr>
        <w:t>n</w:t>
      </w:r>
      <w:r w:rsidRPr="00D029C7">
        <w:rPr>
          <w:sz w:val="28"/>
          <w:szCs w:val="28"/>
        </w:rPr>
        <w:t>o. 2 (Jun</w:t>
      </w:r>
      <w:r>
        <w:rPr>
          <w:sz w:val="28"/>
          <w:szCs w:val="28"/>
        </w:rPr>
        <w:t>e</w:t>
      </w:r>
      <w:r w:rsidRPr="00D029C7">
        <w:rPr>
          <w:sz w:val="28"/>
          <w:szCs w:val="28"/>
        </w:rPr>
        <w:t>, 1944)</w:t>
      </w:r>
      <w:r>
        <w:rPr>
          <w:sz w:val="28"/>
          <w:szCs w:val="28"/>
        </w:rPr>
        <w:t>:</w:t>
      </w:r>
      <w:r w:rsidRPr="00D029C7">
        <w:rPr>
          <w:sz w:val="28"/>
          <w:szCs w:val="28"/>
        </w:rPr>
        <w:t xml:space="preserve"> 247-248</w:t>
      </w:r>
      <w:r>
        <w:rPr>
          <w:sz w:val="28"/>
          <w:szCs w:val="28"/>
        </w:rPr>
        <w:t>.</w:t>
      </w:r>
    </w:p>
    <w:p w14:paraId="2753A990" w14:textId="77777777" w:rsidR="00A97A17" w:rsidRDefault="00A97A17" w:rsidP="00A97A17">
      <w:pPr>
        <w:rPr>
          <w:sz w:val="28"/>
          <w:szCs w:val="28"/>
        </w:rPr>
      </w:pPr>
    </w:p>
    <w:p w14:paraId="4F9CC42A" w14:textId="77777777" w:rsidR="00A97A17" w:rsidRDefault="00A97A17" w:rsidP="00A97A17">
      <w:pPr>
        <w:rPr>
          <w:sz w:val="28"/>
          <w:szCs w:val="28"/>
        </w:rPr>
      </w:pPr>
      <w:r w:rsidRPr="00134039">
        <w:rPr>
          <w:sz w:val="28"/>
          <w:szCs w:val="28"/>
        </w:rPr>
        <w:t>Hall,</w:t>
      </w:r>
      <w:r>
        <w:rPr>
          <w:sz w:val="28"/>
          <w:szCs w:val="28"/>
        </w:rPr>
        <w:t xml:space="preserve"> </w:t>
      </w:r>
      <w:r w:rsidRPr="00134039">
        <w:rPr>
          <w:sz w:val="28"/>
          <w:szCs w:val="28"/>
        </w:rPr>
        <w:t>H. Duncan</w:t>
      </w:r>
      <w:r>
        <w:rPr>
          <w:sz w:val="28"/>
          <w:szCs w:val="28"/>
        </w:rPr>
        <w:t>.</w:t>
      </w:r>
      <w:r w:rsidRPr="00134039">
        <w:rPr>
          <w:sz w:val="28"/>
          <w:szCs w:val="28"/>
        </w:rPr>
        <w:t xml:space="preserve"> “The International Frontier</w:t>
      </w:r>
      <w:r>
        <w:rPr>
          <w:sz w:val="28"/>
          <w:szCs w:val="28"/>
        </w:rPr>
        <w:t>.</w:t>
      </w:r>
      <w:r w:rsidRPr="00134039">
        <w:rPr>
          <w:sz w:val="28"/>
          <w:szCs w:val="28"/>
        </w:rPr>
        <w:t xml:space="preserve">” </w:t>
      </w:r>
      <w:r w:rsidRPr="00134039">
        <w:rPr>
          <w:i/>
          <w:sz w:val="28"/>
          <w:szCs w:val="28"/>
        </w:rPr>
        <w:t>The American Journal of International Law</w:t>
      </w:r>
      <w:r w:rsidRPr="00134039">
        <w:rPr>
          <w:sz w:val="28"/>
          <w:szCs w:val="28"/>
        </w:rPr>
        <w:t xml:space="preserve"> 42, </w:t>
      </w:r>
      <w:r>
        <w:rPr>
          <w:sz w:val="28"/>
          <w:szCs w:val="28"/>
        </w:rPr>
        <w:t>n</w:t>
      </w:r>
      <w:r w:rsidRPr="00134039">
        <w:rPr>
          <w:sz w:val="28"/>
          <w:szCs w:val="28"/>
        </w:rPr>
        <w:t>o. 1 (Jan., 1948)</w:t>
      </w:r>
      <w:r>
        <w:rPr>
          <w:sz w:val="28"/>
          <w:szCs w:val="28"/>
        </w:rPr>
        <w:t>:</w:t>
      </w:r>
      <w:r w:rsidRPr="00134039">
        <w:rPr>
          <w:sz w:val="28"/>
          <w:szCs w:val="28"/>
        </w:rPr>
        <w:t xml:space="preserve"> 42-65. </w:t>
      </w:r>
    </w:p>
    <w:p w14:paraId="4C1E6AB4" w14:textId="77777777" w:rsidR="00A97A17" w:rsidRDefault="00A97A17" w:rsidP="00A97A17">
      <w:pPr>
        <w:rPr>
          <w:sz w:val="28"/>
          <w:szCs w:val="28"/>
        </w:rPr>
      </w:pPr>
    </w:p>
    <w:p w14:paraId="45F0675D" w14:textId="77777777" w:rsidR="00A97A17" w:rsidRDefault="00A97A17" w:rsidP="00A97A17">
      <w:pPr>
        <w:rPr>
          <w:i/>
          <w:sz w:val="28"/>
          <w:szCs w:val="28"/>
        </w:rPr>
      </w:pPr>
      <w:r w:rsidRPr="00DE2B96">
        <w:rPr>
          <w:sz w:val="28"/>
          <w:szCs w:val="28"/>
        </w:rPr>
        <w:t>Hall, H. Duncan</w:t>
      </w:r>
      <w:r>
        <w:rPr>
          <w:sz w:val="28"/>
          <w:szCs w:val="28"/>
        </w:rPr>
        <w:t>.</w:t>
      </w:r>
      <w:r w:rsidRPr="00DE2B96">
        <w:rPr>
          <w:sz w:val="28"/>
          <w:szCs w:val="28"/>
        </w:rPr>
        <w:t xml:space="preserve"> </w:t>
      </w:r>
      <w:r w:rsidRPr="00DE2B96">
        <w:rPr>
          <w:i/>
          <w:sz w:val="28"/>
          <w:szCs w:val="28"/>
        </w:rPr>
        <w:t>Mandates, Dependencies and Trusteeship</w:t>
      </w:r>
      <w:r>
        <w:rPr>
          <w:i/>
          <w:sz w:val="28"/>
          <w:szCs w:val="28"/>
        </w:rPr>
        <w:t>.</w:t>
      </w:r>
      <w:r w:rsidRPr="00DE2B96">
        <w:rPr>
          <w:i/>
          <w:sz w:val="28"/>
          <w:szCs w:val="28"/>
        </w:rPr>
        <w:t xml:space="preserve"> </w:t>
      </w:r>
      <w:r w:rsidRPr="00DE2B96">
        <w:rPr>
          <w:sz w:val="28"/>
          <w:szCs w:val="28"/>
        </w:rPr>
        <w:t>Washington, DC: Carnegie Endowment for International Peace, 1948</w:t>
      </w:r>
      <w:r>
        <w:rPr>
          <w:sz w:val="28"/>
          <w:szCs w:val="28"/>
        </w:rPr>
        <w:t>.</w:t>
      </w:r>
      <w:r w:rsidRPr="00DE2B96">
        <w:rPr>
          <w:i/>
          <w:sz w:val="28"/>
          <w:szCs w:val="28"/>
        </w:rPr>
        <w:t xml:space="preserve"> </w:t>
      </w:r>
    </w:p>
    <w:p w14:paraId="32BA2ACF" w14:textId="77777777" w:rsidR="00A97A17" w:rsidRDefault="00A97A17" w:rsidP="00A97A17">
      <w:pPr>
        <w:rPr>
          <w:i/>
          <w:sz w:val="28"/>
          <w:szCs w:val="28"/>
        </w:rPr>
      </w:pPr>
    </w:p>
    <w:p w14:paraId="2B0920BD" w14:textId="77777777" w:rsidR="00A97A17" w:rsidRDefault="00A97A17" w:rsidP="00A97A17">
      <w:pPr>
        <w:rPr>
          <w:sz w:val="28"/>
          <w:szCs w:val="28"/>
        </w:rPr>
      </w:pPr>
      <w:r>
        <w:rPr>
          <w:sz w:val="28"/>
          <w:szCs w:val="28"/>
        </w:rPr>
        <w:t>v</w:t>
      </w:r>
      <w:r w:rsidRPr="00161DE3">
        <w:rPr>
          <w:sz w:val="28"/>
          <w:szCs w:val="28"/>
        </w:rPr>
        <w:t>an Hamel,</w:t>
      </w:r>
      <w:r>
        <w:rPr>
          <w:sz w:val="28"/>
          <w:szCs w:val="28"/>
        </w:rPr>
        <w:t xml:space="preserve"> </w:t>
      </w:r>
      <w:r w:rsidRPr="00161DE3">
        <w:rPr>
          <w:sz w:val="28"/>
          <w:szCs w:val="28"/>
        </w:rPr>
        <w:t>J. A. “Danzig and the Polish Problem</w:t>
      </w:r>
      <w:r>
        <w:rPr>
          <w:sz w:val="28"/>
          <w:szCs w:val="28"/>
        </w:rPr>
        <w:t>.</w:t>
      </w:r>
      <w:r w:rsidRPr="00161DE3">
        <w:rPr>
          <w:sz w:val="28"/>
          <w:szCs w:val="28"/>
        </w:rPr>
        <w:t xml:space="preserve">”  </w:t>
      </w:r>
      <w:r w:rsidRPr="00161DE3">
        <w:rPr>
          <w:i/>
          <w:sz w:val="28"/>
          <w:szCs w:val="28"/>
        </w:rPr>
        <w:t>International Conciliation</w:t>
      </w:r>
      <w:r w:rsidRPr="00161DE3">
        <w:rPr>
          <w:sz w:val="28"/>
          <w:szCs w:val="28"/>
        </w:rPr>
        <w:t xml:space="preserve"> </w:t>
      </w:r>
      <w:r>
        <w:rPr>
          <w:sz w:val="28"/>
          <w:szCs w:val="28"/>
        </w:rPr>
        <w:t xml:space="preserve">15, </w:t>
      </w:r>
      <w:r w:rsidRPr="00161DE3">
        <w:rPr>
          <w:sz w:val="28"/>
          <w:szCs w:val="28"/>
        </w:rPr>
        <w:t>(1933)</w:t>
      </w:r>
      <w:r>
        <w:rPr>
          <w:sz w:val="28"/>
          <w:szCs w:val="28"/>
        </w:rPr>
        <w:t>: 145-173.</w:t>
      </w:r>
    </w:p>
    <w:p w14:paraId="1839CED3" w14:textId="77777777" w:rsidR="00A97A17" w:rsidRDefault="00A97A17" w:rsidP="00A97A17">
      <w:pPr>
        <w:rPr>
          <w:sz w:val="28"/>
          <w:szCs w:val="28"/>
        </w:rPr>
      </w:pPr>
    </w:p>
    <w:p w14:paraId="7CC03829" w14:textId="77777777" w:rsidR="00A97A17" w:rsidRDefault="00A97A17" w:rsidP="00A97A17">
      <w:pPr>
        <w:rPr>
          <w:sz w:val="28"/>
          <w:szCs w:val="28"/>
        </w:rPr>
      </w:pPr>
      <w:r w:rsidRPr="00515AE6">
        <w:rPr>
          <w:sz w:val="28"/>
          <w:szCs w:val="28"/>
        </w:rPr>
        <w:t xml:space="preserve">Hilderbrand, Robert C. </w:t>
      </w:r>
      <w:r w:rsidRPr="00515AE6">
        <w:rPr>
          <w:i/>
          <w:sz w:val="28"/>
          <w:szCs w:val="28"/>
        </w:rPr>
        <w:t>Dumbarton Oaks: The Origins of the United Nations and the Search for Postwar Security</w:t>
      </w:r>
      <w:r>
        <w:rPr>
          <w:i/>
          <w:sz w:val="28"/>
          <w:szCs w:val="28"/>
        </w:rPr>
        <w:t>.</w:t>
      </w:r>
      <w:r w:rsidRPr="00515AE6">
        <w:rPr>
          <w:sz w:val="28"/>
          <w:szCs w:val="28"/>
        </w:rPr>
        <w:t xml:space="preserve"> Chapel Hill: University of North Carolina Press, 1990</w:t>
      </w:r>
      <w:r>
        <w:rPr>
          <w:sz w:val="28"/>
          <w:szCs w:val="28"/>
        </w:rPr>
        <w:t>.</w:t>
      </w:r>
    </w:p>
    <w:p w14:paraId="75376FFB" w14:textId="77777777" w:rsidR="00A97A17" w:rsidRDefault="00A97A17" w:rsidP="00A97A17">
      <w:pPr>
        <w:rPr>
          <w:sz w:val="28"/>
          <w:szCs w:val="28"/>
        </w:rPr>
      </w:pPr>
    </w:p>
    <w:p w14:paraId="6ACFF062" w14:textId="77777777" w:rsidR="00A97A17" w:rsidRPr="00515AE6" w:rsidRDefault="00A97A17" w:rsidP="00A97A17">
      <w:pPr>
        <w:rPr>
          <w:sz w:val="28"/>
          <w:szCs w:val="28"/>
        </w:rPr>
      </w:pPr>
      <w:r w:rsidRPr="00047413">
        <w:rPr>
          <w:sz w:val="28"/>
          <w:szCs w:val="28"/>
        </w:rPr>
        <w:t>Hurewitz, Jacob C.  “The Israeli-Syrian Crisis in the Light of the Arab-Israel Armistice System</w:t>
      </w:r>
      <w:r>
        <w:rPr>
          <w:sz w:val="28"/>
          <w:szCs w:val="28"/>
        </w:rPr>
        <w:t>.</w:t>
      </w:r>
      <w:r w:rsidRPr="00047413">
        <w:rPr>
          <w:sz w:val="28"/>
          <w:szCs w:val="28"/>
        </w:rPr>
        <w:t xml:space="preserve">” </w:t>
      </w:r>
      <w:r w:rsidRPr="00047413">
        <w:rPr>
          <w:i/>
          <w:sz w:val="28"/>
          <w:szCs w:val="28"/>
        </w:rPr>
        <w:t>International Organization</w:t>
      </w:r>
      <w:r>
        <w:rPr>
          <w:i/>
          <w:sz w:val="28"/>
          <w:szCs w:val="28"/>
        </w:rPr>
        <w:t xml:space="preserve"> </w:t>
      </w:r>
      <w:r w:rsidRPr="00047413">
        <w:rPr>
          <w:sz w:val="28"/>
          <w:szCs w:val="28"/>
        </w:rPr>
        <w:t>5, No. 3 (Aug., 1951)</w:t>
      </w:r>
      <w:r>
        <w:rPr>
          <w:sz w:val="28"/>
          <w:szCs w:val="28"/>
        </w:rPr>
        <w:t>: 459-479.</w:t>
      </w:r>
    </w:p>
    <w:p w14:paraId="4645D7B6" w14:textId="77777777" w:rsidR="00A97A17" w:rsidRDefault="00A97A17" w:rsidP="00A97A17">
      <w:pPr>
        <w:rPr>
          <w:sz w:val="28"/>
          <w:szCs w:val="28"/>
        </w:rPr>
      </w:pPr>
    </w:p>
    <w:p w14:paraId="0071418E" w14:textId="77777777" w:rsidR="00A97A17" w:rsidRDefault="00A97A17" w:rsidP="00A97A17">
      <w:pPr>
        <w:rPr>
          <w:sz w:val="28"/>
          <w:szCs w:val="28"/>
        </w:rPr>
      </w:pPr>
      <w:r w:rsidRPr="00C65DBB">
        <w:rPr>
          <w:sz w:val="28"/>
          <w:szCs w:val="28"/>
        </w:rPr>
        <w:t>Ilan, Amitzur</w:t>
      </w:r>
      <w:r>
        <w:rPr>
          <w:sz w:val="28"/>
          <w:szCs w:val="28"/>
        </w:rPr>
        <w:t>.</w:t>
      </w:r>
      <w:r w:rsidRPr="00C65DBB">
        <w:rPr>
          <w:sz w:val="28"/>
          <w:szCs w:val="28"/>
        </w:rPr>
        <w:t xml:space="preserve"> </w:t>
      </w:r>
      <w:r w:rsidRPr="00C65DBB">
        <w:rPr>
          <w:i/>
          <w:sz w:val="28"/>
          <w:szCs w:val="28"/>
        </w:rPr>
        <w:t>Bernadotte in Palestine, 1948: A Study in Contemporary Knight-Errantry</w:t>
      </w:r>
      <w:r>
        <w:rPr>
          <w:i/>
          <w:sz w:val="28"/>
          <w:szCs w:val="28"/>
        </w:rPr>
        <w:t>.</w:t>
      </w:r>
      <w:r w:rsidRPr="00C65DBB">
        <w:rPr>
          <w:i/>
          <w:sz w:val="28"/>
          <w:szCs w:val="28"/>
        </w:rPr>
        <w:t xml:space="preserve"> </w:t>
      </w:r>
      <w:r w:rsidRPr="00C65DBB">
        <w:rPr>
          <w:sz w:val="28"/>
          <w:szCs w:val="28"/>
        </w:rPr>
        <w:t>New York: St Martin’s Press, 1989</w:t>
      </w:r>
      <w:r>
        <w:rPr>
          <w:sz w:val="28"/>
          <w:szCs w:val="28"/>
        </w:rPr>
        <w:t>.</w:t>
      </w:r>
    </w:p>
    <w:p w14:paraId="13EC8F4C" w14:textId="77777777" w:rsidR="00A97A17" w:rsidRDefault="00A97A17" w:rsidP="00A97A17">
      <w:pPr>
        <w:rPr>
          <w:sz w:val="28"/>
          <w:szCs w:val="28"/>
        </w:rPr>
      </w:pPr>
    </w:p>
    <w:p w14:paraId="75421E9D" w14:textId="77777777" w:rsidR="00A97A17" w:rsidRPr="00161DE3" w:rsidRDefault="00A97A17" w:rsidP="00A97A17">
      <w:pPr>
        <w:rPr>
          <w:sz w:val="28"/>
          <w:szCs w:val="28"/>
        </w:rPr>
      </w:pPr>
      <w:r w:rsidRPr="00956146">
        <w:rPr>
          <w:sz w:val="28"/>
          <w:szCs w:val="28"/>
        </w:rPr>
        <w:t>James, Alan</w:t>
      </w:r>
      <w:r>
        <w:rPr>
          <w:sz w:val="28"/>
          <w:szCs w:val="28"/>
        </w:rPr>
        <w:t>.</w:t>
      </w:r>
      <w:r w:rsidRPr="00956146">
        <w:rPr>
          <w:sz w:val="28"/>
          <w:szCs w:val="28"/>
        </w:rPr>
        <w:t xml:space="preserve"> </w:t>
      </w:r>
      <w:r w:rsidRPr="00956146">
        <w:rPr>
          <w:i/>
          <w:sz w:val="28"/>
          <w:szCs w:val="28"/>
        </w:rPr>
        <w:t>Peacekeeping in International Politics</w:t>
      </w:r>
      <w:r>
        <w:rPr>
          <w:i/>
          <w:sz w:val="28"/>
          <w:szCs w:val="28"/>
        </w:rPr>
        <w:t>.</w:t>
      </w:r>
      <w:r w:rsidRPr="00956146">
        <w:rPr>
          <w:i/>
          <w:sz w:val="28"/>
          <w:szCs w:val="28"/>
        </w:rPr>
        <w:t xml:space="preserve"> </w:t>
      </w:r>
      <w:r w:rsidRPr="00956146">
        <w:rPr>
          <w:sz w:val="28"/>
          <w:szCs w:val="28"/>
        </w:rPr>
        <w:t>New York, New York: St Martin’s Press, 1990</w:t>
      </w:r>
      <w:r>
        <w:rPr>
          <w:sz w:val="28"/>
          <w:szCs w:val="28"/>
        </w:rPr>
        <w:t>.</w:t>
      </w:r>
    </w:p>
    <w:p w14:paraId="049D67BC" w14:textId="77777777" w:rsidR="00A97A17" w:rsidRDefault="00A97A17" w:rsidP="00A97A17">
      <w:pPr>
        <w:rPr>
          <w:i/>
          <w:sz w:val="28"/>
          <w:szCs w:val="28"/>
        </w:rPr>
      </w:pPr>
    </w:p>
    <w:p w14:paraId="25A14860" w14:textId="77777777" w:rsidR="00A97A17" w:rsidRDefault="00A97A17" w:rsidP="00A97A17">
      <w:pPr>
        <w:rPr>
          <w:sz w:val="28"/>
          <w:szCs w:val="28"/>
        </w:rPr>
      </w:pPr>
      <w:r w:rsidRPr="00840A6A">
        <w:rPr>
          <w:sz w:val="28"/>
          <w:szCs w:val="28"/>
        </w:rPr>
        <w:t>Kalijarvi,</w:t>
      </w:r>
      <w:r>
        <w:rPr>
          <w:sz w:val="28"/>
          <w:szCs w:val="28"/>
        </w:rPr>
        <w:t xml:space="preserve"> </w:t>
      </w:r>
      <w:r w:rsidRPr="00840A6A">
        <w:rPr>
          <w:sz w:val="28"/>
          <w:szCs w:val="28"/>
        </w:rPr>
        <w:t>Thorsten</w:t>
      </w:r>
      <w:r>
        <w:rPr>
          <w:sz w:val="28"/>
          <w:szCs w:val="28"/>
        </w:rPr>
        <w:t>.</w:t>
      </w:r>
      <w:r w:rsidRPr="00840A6A">
        <w:rPr>
          <w:i/>
          <w:sz w:val="28"/>
          <w:szCs w:val="28"/>
        </w:rPr>
        <w:t xml:space="preserve"> </w:t>
      </w:r>
      <w:r>
        <w:rPr>
          <w:sz w:val="28"/>
          <w:szCs w:val="28"/>
        </w:rPr>
        <w:t>“</w:t>
      </w:r>
      <w:r w:rsidRPr="00840A6A">
        <w:rPr>
          <w:sz w:val="28"/>
          <w:szCs w:val="28"/>
        </w:rPr>
        <w:t>The Problem of Memel</w:t>
      </w:r>
      <w:r>
        <w:rPr>
          <w:i/>
          <w:sz w:val="28"/>
          <w:szCs w:val="28"/>
        </w:rPr>
        <w:t>.”</w:t>
      </w:r>
      <w:r w:rsidRPr="00840A6A">
        <w:rPr>
          <w:i/>
          <w:sz w:val="28"/>
          <w:szCs w:val="28"/>
        </w:rPr>
        <w:t xml:space="preserve"> Am</w:t>
      </w:r>
      <w:r>
        <w:rPr>
          <w:i/>
          <w:sz w:val="28"/>
          <w:szCs w:val="28"/>
        </w:rPr>
        <w:t>erican</w:t>
      </w:r>
      <w:r w:rsidRPr="00840A6A">
        <w:rPr>
          <w:i/>
          <w:sz w:val="28"/>
          <w:szCs w:val="28"/>
        </w:rPr>
        <w:t xml:space="preserve"> J</w:t>
      </w:r>
      <w:r>
        <w:rPr>
          <w:i/>
          <w:sz w:val="28"/>
          <w:szCs w:val="28"/>
        </w:rPr>
        <w:t>ournal of</w:t>
      </w:r>
      <w:r w:rsidRPr="00840A6A">
        <w:rPr>
          <w:i/>
          <w:sz w:val="28"/>
          <w:szCs w:val="28"/>
        </w:rPr>
        <w:t xml:space="preserve"> Int</w:t>
      </w:r>
      <w:r>
        <w:rPr>
          <w:i/>
          <w:sz w:val="28"/>
          <w:szCs w:val="28"/>
        </w:rPr>
        <w:t>ernationa</w:t>
      </w:r>
      <w:r w:rsidRPr="00840A6A">
        <w:rPr>
          <w:i/>
          <w:sz w:val="28"/>
          <w:szCs w:val="28"/>
        </w:rPr>
        <w:t>l L</w:t>
      </w:r>
      <w:r>
        <w:rPr>
          <w:i/>
          <w:sz w:val="28"/>
          <w:szCs w:val="28"/>
        </w:rPr>
        <w:t xml:space="preserve">aw </w:t>
      </w:r>
      <w:r w:rsidRPr="004A2265">
        <w:rPr>
          <w:sz w:val="28"/>
          <w:szCs w:val="28"/>
        </w:rPr>
        <w:t>30, (1936): 204-215.</w:t>
      </w:r>
    </w:p>
    <w:p w14:paraId="376263BE" w14:textId="77777777" w:rsidR="00A97A17" w:rsidRDefault="00A97A17" w:rsidP="00A97A17">
      <w:pPr>
        <w:rPr>
          <w:i/>
          <w:sz w:val="28"/>
          <w:szCs w:val="28"/>
        </w:rPr>
      </w:pPr>
    </w:p>
    <w:p w14:paraId="549933D5" w14:textId="77777777" w:rsidR="00A97A17" w:rsidRPr="00E10318" w:rsidRDefault="00A97A17" w:rsidP="00A97A17">
      <w:pPr>
        <w:rPr>
          <w:sz w:val="28"/>
          <w:szCs w:val="28"/>
        </w:rPr>
      </w:pPr>
      <w:r w:rsidRPr="00E10318">
        <w:rPr>
          <w:sz w:val="28"/>
          <w:szCs w:val="28"/>
        </w:rPr>
        <w:t>Kidd, George</w:t>
      </w:r>
      <w:r>
        <w:rPr>
          <w:sz w:val="28"/>
          <w:szCs w:val="28"/>
        </w:rPr>
        <w:t>.</w:t>
      </w:r>
      <w:r w:rsidRPr="00E10318">
        <w:rPr>
          <w:sz w:val="28"/>
          <w:szCs w:val="28"/>
        </w:rPr>
        <w:t xml:space="preserve"> “Changes in the League, Past and Proposed”</w:t>
      </w:r>
      <w:r>
        <w:rPr>
          <w:sz w:val="28"/>
          <w:szCs w:val="28"/>
        </w:rPr>
        <w:t>.</w:t>
      </w:r>
      <w:r w:rsidRPr="00E10318">
        <w:rPr>
          <w:sz w:val="28"/>
          <w:szCs w:val="28"/>
        </w:rPr>
        <w:t xml:space="preserve"> </w:t>
      </w:r>
      <w:r w:rsidRPr="00E10318">
        <w:rPr>
          <w:i/>
          <w:sz w:val="28"/>
          <w:szCs w:val="28"/>
        </w:rPr>
        <w:t>Geneva Special Studies</w:t>
      </w:r>
      <w:r w:rsidRPr="00E10318">
        <w:rPr>
          <w:sz w:val="28"/>
          <w:szCs w:val="28"/>
        </w:rPr>
        <w:t>, Vol V No 8, Reform of the League of Nations, 1934</w:t>
      </w:r>
      <w:r>
        <w:rPr>
          <w:sz w:val="28"/>
          <w:szCs w:val="28"/>
        </w:rPr>
        <w:t>.</w:t>
      </w:r>
    </w:p>
    <w:p w14:paraId="14665AFB" w14:textId="77777777" w:rsidR="00A97A17" w:rsidRDefault="00A97A17" w:rsidP="00A97A17">
      <w:pPr>
        <w:rPr>
          <w:i/>
          <w:sz w:val="28"/>
          <w:szCs w:val="28"/>
        </w:rPr>
      </w:pPr>
    </w:p>
    <w:p w14:paraId="35BD188A" w14:textId="77777777" w:rsidR="00A97A17" w:rsidRPr="001A5811" w:rsidRDefault="00A97A17" w:rsidP="00A97A17">
      <w:pPr>
        <w:rPr>
          <w:sz w:val="28"/>
          <w:szCs w:val="28"/>
        </w:rPr>
      </w:pPr>
      <w:r w:rsidRPr="001A5811">
        <w:rPr>
          <w:sz w:val="28"/>
          <w:szCs w:val="28"/>
        </w:rPr>
        <w:t>King</w:t>
      </w:r>
      <w:r>
        <w:rPr>
          <w:sz w:val="28"/>
          <w:szCs w:val="28"/>
        </w:rPr>
        <w:t xml:space="preserve">, </w:t>
      </w:r>
      <w:r w:rsidRPr="001A5811">
        <w:rPr>
          <w:sz w:val="28"/>
          <w:szCs w:val="28"/>
        </w:rPr>
        <w:t>Willian B. and Frank O’Brian,</w:t>
      </w:r>
      <w:r>
        <w:rPr>
          <w:sz w:val="28"/>
          <w:szCs w:val="28"/>
        </w:rPr>
        <w:t>.</w:t>
      </w:r>
      <w:r w:rsidRPr="001A5811">
        <w:rPr>
          <w:sz w:val="28"/>
          <w:szCs w:val="28"/>
        </w:rPr>
        <w:t xml:space="preserve"> </w:t>
      </w:r>
      <w:r w:rsidRPr="001A5811">
        <w:rPr>
          <w:i/>
          <w:sz w:val="28"/>
          <w:szCs w:val="28"/>
        </w:rPr>
        <w:t>Balkans: Frontier of Two Worlds</w:t>
      </w:r>
      <w:r>
        <w:rPr>
          <w:i/>
          <w:sz w:val="28"/>
          <w:szCs w:val="28"/>
        </w:rPr>
        <w:t xml:space="preserve">. </w:t>
      </w:r>
      <w:r w:rsidRPr="001A5811">
        <w:rPr>
          <w:sz w:val="28"/>
          <w:szCs w:val="28"/>
        </w:rPr>
        <w:t>NY, NY: Alfred A. Knopf, 1947</w:t>
      </w:r>
      <w:r>
        <w:rPr>
          <w:sz w:val="28"/>
          <w:szCs w:val="28"/>
        </w:rPr>
        <w:t>.</w:t>
      </w:r>
    </w:p>
    <w:p w14:paraId="3263394E" w14:textId="77777777" w:rsidR="00A97A17" w:rsidRDefault="00A97A17" w:rsidP="00A97A17">
      <w:pPr>
        <w:rPr>
          <w:i/>
          <w:sz w:val="28"/>
          <w:szCs w:val="28"/>
        </w:rPr>
      </w:pPr>
    </w:p>
    <w:p w14:paraId="239A30A4" w14:textId="77777777" w:rsidR="00A97A17" w:rsidRDefault="00A97A17" w:rsidP="00A97A17">
      <w:pPr>
        <w:rPr>
          <w:sz w:val="28"/>
          <w:szCs w:val="28"/>
        </w:rPr>
      </w:pPr>
      <w:r w:rsidRPr="00B6029C">
        <w:rPr>
          <w:sz w:val="28"/>
          <w:szCs w:val="28"/>
        </w:rPr>
        <w:t>von Kuhlmann, Richard</w:t>
      </w:r>
      <w:r>
        <w:rPr>
          <w:sz w:val="28"/>
          <w:szCs w:val="28"/>
        </w:rPr>
        <w:t>.</w:t>
      </w:r>
      <w:r w:rsidRPr="00B6029C">
        <w:rPr>
          <w:sz w:val="28"/>
          <w:szCs w:val="28"/>
        </w:rPr>
        <w:t xml:space="preserve"> “The Future of the Saar” </w:t>
      </w:r>
      <w:r w:rsidRPr="00B6029C">
        <w:rPr>
          <w:i/>
          <w:sz w:val="28"/>
          <w:szCs w:val="28"/>
        </w:rPr>
        <w:t>Foreign Affairs</w:t>
      </w:r>
      <w:r w:rsidRPr="00B6029C">
        <w:rPr>
          <w:sz w:val="28"/>
          <w:szCs w:val="28"/>
        </w:rPr>
        <w:t xml:space="preserve"> </w:t>
      </w:r>
      <w:r>
        <w:rPr>
          <w:sz w:val="28"/>
          <w:szCs w:val="28"/>
        </w:rPr>
        <w:t xml:space="preserve">12, </w:t>
      </w:r>
      <w:r w:rsidRPr="00B6029C">
        <w:rPr>
          <w:sz w:val="28"/>
          <w:szCs w:val="28"/>
        </w:rPr>
        <w:t>(1934)</w:t>
      </w:r>
      <w:r>
        <w:rPr>
          <w:sz w:val="28"/>
          <w:szCs w:val="28"/>
        </w:rPr>
        <w:t>: 426-435.</w:t>
      </w:r>
    </w:p>
    <w:p w14:paraId="6D48CC1B" w14:textId="77777777" w:rsidR="00A97A17" w:rsidRDefault="00A97A17" w:rsidP="00A97A17">
      <w:pPr>
        <w:rPr>
          <w:sz w:val="28"/>
          <w:szCs w:val="28"/>
        </w:rPr>
      </w:pPr>
    </w:p>
    <w:p w14:paraId="1CCB216B" w14:textId="77777777" w:rsidR="00A97A17" w:rsidRDefault="00A97A17" w:rsidP="00A97A17">
      <w:pPr>
        <w:rPr>
          <w:sz w:val="28"/>
          <w:szCs w:val="28"/>
        </w:rPr>
      </w:pPr>
      <w:r w:rsidRPr="001A5811">
        <w:rPr>
          <w:sz w:val="28"/>
          <w:szCs w:val="28"/>
        </w:rPr>
        <w:t>Kunz,</w:t>
      </w:r>
      <w:r>
        <w:rPr>
          <w:sz w:val="28"/>
          <w:szCs w:val="28"/>
        </w:rPr>
        <w:t xml:space="preserve"> </w:t>
      </w:r>
      <w:r w:rsidRPr="001A5811">
        <w:rPr>
          <w:sz w:val="28"/>
          <w:szCs w:val="28"/>
        </w:rPr>
        <w:t>Josef L. “The Free Territory of Trieste</w:t>
      </w:r>
      <w:r>
        <w:rPr>
          <w:sz w:val="28"/>
          <w:szCs w:val="28"/>
        </w:rPr>
        <w:t>.</w:t>
      </w:r>
      <w:r w:rsidRPr="001A5811">
        <w:rPr>
          <w:sz w:val="28"/>
          <w:szCs w:val="28"/>
        </w:rPr>
        <w:t xml:space="preserve">” </w:t>
      </w:r>
      <w:r w:rsidRPr="001A5811">
        <w:rPr>
          <w:i/>
          <w:sz w:val="28"/>
          <w:szCs w:val="28"/>
        </w:rPr>
        <w:t xml:space="preserve">The Western Political Quarterly </w:t>
      </w:r>
      <w:r w:rsidRPr="001A5811">
        <w:rPr>
          <w:sz w:val="28"/>
          <w:szCs w:val="28"/>
        </w:rPr>
        <w:t xml:space="preserve">1, </w:t>
      </w:r>
      <w:r>
        <w:rPr>
          <w:sz w:val="28"/>
          <w:szCs w:val="28"/>
        </w:rPr>
        <w:t>n</w:t>
      </w:r>
      <w:r w:rsidRPr="001A5811">
        <w:rPr>
          <w:sz w:val="28"/>
          <w:szCs w:val="28"/>
        </w:rPr>
        <w:t>o. 2 (Jun</w:t>
      </w:r>
      <w:r>
        <w:rPr>
          <w:sz w:val="28"/>
          <w:szCs w:val="28"/>
        </w:rPr>
        <w:t>e</w:t>
      </w:r>
      <w:r w:rsidRPr="001A5811">
        <w:rPr>
          <w:sz w:val="28"/>
          <w:szCs w:val="28"/>
        </w:rPr>
        <w:t>, 1948)</w:t>
      </w:r>
      <w:r>
        <w:rPr>
          <w:sz w:val="28"/>
          <w:szCs w:val="28"/>
        </w:rPr>
        <w:t xml:space="preserve">: </w:t>
      </w:r>
      <w:r w:rsidRPr="001A5811">
        <w:rPr>
          <w:sz w:val="28"/>
          <w:szCs w:val="28"/>
        </w:rPr>
        <w:t>99-112.</w:t>
      </w:r>
    </w:p>
    <w:p w14:paraId="37CDD838" w14:textId="77777777" w:rsidR="00A97A17" w:rsidRDefault="00A97A17" w:rsidP="00A97A17">
      <w:pPr>
        <w:rPr>
          <w:sz w:val="28"/>
          <w:szCs w:val="28"/>
        </w:rPr>
      </w:pPr>
    </w:p>
    <w:p w14:paraId="6EECA7B8" w14:textId="77777777" w:rsidR="00A97A17" w:rsidRPr="00B6029C" w:rsidRDefault="00A97A17" w:rsidP="00A97A17">
      <w:pPr>
        <w:rPr>
          <w:sz w:val="28"/>
          <w:szCs w:val="28"/>
        </w:rPr>
      </w:pPr>
      <w:r w:rsidRPr="009A1D0F">
        <w:rPr>
          <w:sz w:val="28"/>
          <w:szCs w:val="28"/>
        </w:rPr>
        <w:t>Leonard,  L. Larry</w:t>
      </w:r>
      <w:r>
        <w:rPr>
          <w:sz w:val="28"/>
          <w:szCs w:val="28"/>
        </w:rPr>
        <w:t>.</w:t>
      </w:r>
      <w:r w:rsidRPr="009A1D0F">
        <w:rPr>
          <w:sz w:val="28"/>
          <w:szCs w:val="28"/>
        </w:rPr>
        <w:t xml:space="preserve"> “The UN and Palestine,” </w:t>
      </w:r>
      <w:r w:rsidRPr="009A1D0F">
        <w:rPr>
          <w:i/>
          <w:iCs/>
          <w:sz w:val="28"/>
          <w:szCs w:val="28"/>
        </w:rPr>
        <w:t xml:space="preserve">International Conciliation </w:t>
      </w:r>
      <w:r w:rsidRPr="009A1D0F">
        <w:rPr>
          <w:sz w:val="28"/>
          <w:szCs w:val="28"/>
        </w:rPr>
        <w:t>27,</w:t>
      </w:r>
      <w:r>
        <w:rPr>
          <w:sz w:val="28"/>
          <w:szCs w:val="28"/>
        </w:rPr>
        <w:t xml:space="preserve"> (1949): 607-743.</w:t>
      </w:r>
    </w:p>
    <w:p w14:paraId="07EB33B6" w14:textId="77777777" w:rsidR="00A97A17" w:rsidRDefault="00A97A17" w:rsidP="00A97A17">
      <w:pPr>
        <w:rPr>
          <w:sz w:val="28"/>
          <w:szCs w:val="28"/>
        </w:rPr>
      </w:pPr>
    </w:p>
    <w:p w14:paraId="652B75F3" w14:textId="77777777" w:rsidR="00A97A17" w:rsidRDefault="00A97A17" w:rsidP="00A97A17">
      <w:pPr>
        <w:rPr>
          <w:sz w:val="28"/>
          <w:szCs w:val="28"/>
        </w:rPr>
      </w:pPr>
      <w:r w:rsidRPr="00A94AD2">
        <w:rPr>
          <w:sz w:val="28"/>
          <w:szCs w:val="28"/>
        </w:rPr>
        <w:t>Lewis, Zaccai</w:t>
      </w:r>
      <w:r>
        <w:rPr>
          <w:sz w:val="28"/>
          <w:szCs w:val="28"/>
        </w:rPr>
        <w:t>.</w:t>
      </w:r>
      <w:r w:rsidRPr="00A94AD2">
        <w:rPr>
          <w:sz w:val="28"/>
          <w:szCs w:val="28"/>
        </w:rPr>
        <w:t xml:space="preserve"> “Creating No-Man’s Land and the Conditions</w:t>
      </w:r>
      <w:r>
        <w:rPr>
          <w:sz w:val="28"/>
          <w:szCs w:val="28"/>
        </w:rPr>
        <w:t xml:space="preserve"> </w:t>
      </w:r>
      <w:r w:rsidRPr="00A94AD2">
        <w:rPr>
          <w:sz w:val="28"/>
          <w:szCs w:val="28"/>
        </w:rPr>
        <w:t>for Conflict in the Middle East</w:t>
      </w:r>
      <w:r>
        <w:rPr>
          <w:sz w:val="28"/>
          <w:szCs w:val="28"/>
        </w:rPr>
        <w:t>.</w:t>
      </w:r>
      <w:r w:rsidRPr="00A94AD2">
        <w:rPr>
          <w:sz w:val="28"/>
          <w:szCs w:val="28"/>
        </w:rPr>
        <w:t>”</w:t>
      </w:r>
      <w:r w:rsidRPr="00134039">
        <w:rPr>
          <w:sz w:val="28"/>
          <w:szCs w:val="28"/>
        </w:rPr>
        <w:t xml:space="preserve"> </w:t>
      </w:r>
      <w:r>
        <w:rPr>
          <w:sz w:val="28"/>
          <w:szCs w:val="28"/>
        </w:rPr>
        <w:t>Unpublished manuscript available from the author. 2019.</w:t>
      </w:r>
    </w:p>
    <w:p w14:paraId="4F58EB41" w14:textId="77777777" w:rsidR="00A97A17" w:rsidRDefault="00A97A17" w:rsidP="00A97A17">
      <w:pPr>
        <w:rPr>
          <w:sz w:val="28"/>
          <w:szCs w:val="28"/>
        </w:rPr>
      </w:pPr>
    </w:p>
    <w:p w14:paraId="2145FFBF" w14:textId="77777777" w:rsidR="00A97A17" w:rsidRDefault="00A97A17" w:rsidP="00A97A17">
      <w:pPr>
        <w:rPr>
          <w:sz w:val="28"/>
          <w:szCs w:val="28"/>
        </w:rPr>
      </w:pPr>
      <w:r w:rsidRPr="00415309">
        <w:rPr>
          <w:sz w:val="28"/>
          <w:szCs w:val="28"/>
        </w:rPr>
        <w:t>Lie</w:t>
      </w:r>
      <w:r w:rsidRPr="00415309">
        <w:rPr>
          <w:i/>
          <w:sz w:val="28"/>
          <w:szCs w:val="28"/>
        </w:rPr>
        <w:t>,</w:t>
      </w:r>
      <w:r>
        <w:rPr>
          <w:i/>
          <w:sz w:val="28"/>
          <w:szCs w:val="28"/>
        </w:rPr>
        <w:t xml:space="preserve"> </w:t>
      </w:r>
      <w:r w:rsidRPr="00415309">
        <w:rPr>
          <w:sz w:val="28"/>
          <w:szCs w:val="28"/>
        </w:rPr>
        <w:t>Trygve</w:t>
      </w:r>
      <w:r>
        <w:rPr>
          <w:sz w:val="28"/>
          <w:szCs w:val="28"/>
        </w:rPr>
        <w:t>.</w:t>
      </w:r>
      <w:r w:rsidRPr="00415309">
        <w:rPr>
          <w:i/>
          <w:sz w:val="28"/>
          <w:szCs w:val="28"/>
        </w:rPr>
        <w:t xml:space="preserve"> In the Cause of Peace: Seven Years with the United Nations</w:t>
      </w:r>
      <w:r>
        <w:rPr>
          <w:i/>
          <w:sz w:val="28"/>
          <w:szCs w:val="28"/>
        </w:rPr>
        <w:t>.</w:t>
      </w:r>
      <w:r w:rsidRPr="00415309">
        <w:rPr>
          <w:i/>
          <w:sz w:val="28"/>
          <w:szCs w:val="28"/>
        </w:rPr>
        <w:t xml:space="preserve"> </w:t>
      </w:r>
      <w:r w:rsidRPr="00415309">
        <w:rPr>
          <w:sz w:val="28"/>
          <w:szCs w:val="28"/>
        </w:rPr>
        <w:t>New York, McMillan Co., 1954</w:t>
      </w:r>
      <w:r>
        <w:rPr>
          <w:sz w:val="28"/>
          <w:szCs w:val="28"/>
        </w:rPr>
        <w:t>.</w:t>
      </w:r>
    </w:p>
    <w:p w14:paraId="157101C7" w14:textId="77777777" w:rsidR="00A97A17" w:rsidRDefault="00A97A17" w:rsidP="00A97A17">
      <w:pPr>
        <w:rPr>
          <w:sz w:val="28"/>
          <w:szCs w:val="28"/>
        </w:rPr>
      </w:pPr>
    </w:p>
    <w:p w14:paraId="2B5DFC65" w14:textId="77777777" w:rsidR="00A97A17" w:rsidRDefault="00A97A17" w:rsidP="00A97A17">
      <w:pPr>
        <w:rPr>
          <w:sz w:val="28"/>
          <w:szCs w:val="28"/>
        </w:rPr>
      </w:pPr>
      <w:r w:rsidRPr="009579FA">
        <w:rPr>
          <w:sz w:val="28"/>
          <w:szCs w:val="28"/>
        </w:rPr>
        <w:t>Lovejoy, Arthur O. “The Dumbarton Oaks Proposals: the enforcement of peace, Problem XVIII</w:t>
      </w:r>
      <w:r>
        <w:rPr>
          <w:sz w:val="28"/>
          <w:szCs w:val="28"/>
        </w:rPr>
        <w:t>.</w:t>
      </w:r>
      <w:r w:rsidRPr="009579FA">
        <w:rPr>
          <w:sz w:val="28"/>
          <w:szCs w:val="28"/>
        </w:rPr>
        <w:t>”  Boston: Universities Committee on Post-War International Problems, 1944</w:t>
      </w:r>
      <w:r>
        <w:rPr>
          <w:sz w:val="28"/>
          <w:szCs w:val="28"/>
        </w:rPr>
        <w:t>.</w:t>
      </w:r>
    </w:p>
    <w:p w14:paraId="4FA88502" w14:textId="77777777" w:rsidR="00A97A17" w:rsidRDefault="00A97A17" w:rsidP="00A97A17">
      <w:pPr>
        <w:rPr>
          <w:sz w:val="28"/>
          <w:szCs w:val="28"/>
        </w:rPr>
      </w:pPr>
    </w:p>
    <w:p w14:paraId="0F038129" w14:textId="77777777" w:rsidR="00A97A17" w:rsidRDefault="00A97A17" w:rsidP="00A97A17">
      <w:pPr>
        <w:rPr>
          <w:sz w:val="28"/>
          <w:szCs w:val="28"/>
        </w:rPr>
      </w:pPr>
      <w:r w:rsidRPr="001A5811">
        <w:rPr>
          <w:sz w:val="28"/>
          <w:szCs w:val="28"/>
        </w:rPr>
        <w:t>Lovitt, John L. “Trieste-The United Nation’s First Experiment in Government</w:t>
      </w:r>
      <w:r>
        <w:rPr>
          <w:sz w:val="28"/>
          <w:szCs w:val="28"/>
        </w:rPr>
        <w:t>.</w:t>
      </w:r>
      <w:r w:rsidRPr="001A5811">
        <w:rPr>
          <w:sz w:val="28"/>
          <w:szCs w:val="28"/>
        </w:rPr>
        <w:t xml:space="preserve">”  </w:t>
      </w:r>
      <w:r w:rsidRPr="001A5811">
        <w:rPr>
          <w:i/>
          <w:sz w:val="28"/>
          <w:szCs w:val="28"/>
        </w:rPr>
        <w:t>Pennsylvania Bar Association Quarterly</w:t>
      </w:r>
      <w:r w:rsidRPr="001A5811">
        <w:rPr>
          <w:sz w:val="28"/>
          <w:szCs w:val="28"/>
        </w:rPr>
        <w:t xml:space="preserve"> </w:t>
      </w:r>
      <w:r>
        <w:rPr>
          <w:sz w:val="28"/>
          <w:szCs w:val="28"/>
        </w:rPr>
        <w:t xml:space="preserve">19, </w:t>
      </w:r>
      <w:r w:rsidRPr="001A5811">
        <w:rPr>
          <w:sz w:val="28"/>
          <w:szCs w:val="28"/>
        </w:rPr>
        <w:t>(Oct, 1947)</w:t>
      </w:r>
      <w:r>
        <w:rPr>
          <w:sz w:val="28"/>
          <w:szCs w:val="28"/>
        </w:rPr>
        <w:t>:</w:t>
      </w:r>
      <w:r w:rsidRPr="001A5811">
        <w:rPr>
          <w:sz w:val="28"/>
          <w:szCs w:val="28"/>
        </w:rPr>
        <w:t xml:space="preserve"> 79-82</w:t>
      </w:r>
      <w:r>
        <w:rPr>
          <w:sz w:val="28"/>
          <w:szCs w:val="28"/>
        </w:rPr>
        <w:t>.</w:t>
      </w:r>
    </w:p>
    <w:p w14:paraId="147EB6CC" w14:textId="77777777" w:rsidR="00A97A17" w:rsidRDefault="00A97A17" w:rsidP="00A97A17">
      <w:pPr>
        <w:rPr>
          <w:sz w:val="28"/>
          <w:szCs w:val="28"/>
        </w:rPr>
      </w:pPr>
    </w:p>
    <w:p w14:paraId="5C376CBA" w14:textId="77777777" w:rsidR="00A97A17" w:rsidRDefault="00A97A17" w:rsidP="00A97A17">
      <w:pPr>
        <w:rPr>
          <w:sz w:val="28"/>
          <w:szCs w:val="28"/>
        </w:rPr>
      </w:pPr>
      <w:r w:rsidRPr="008D3404">
        <w:rPr>
          <w:sz w:val="28"/>
          <w:szCs w:val="28"/>
        </w:rPr>
        <w:t xml:space="preserve">McDonald, James G. </w:t>
      </w:r>
      <w:r w:rsidRPr="008D3404">
        <w:rPr>
          <w:i/>
          <w:sz w:val="28"/>
          <w:szCs w:val="28"/>
        </w:rPr>
        <w:t>My Mission in Israel: 1948-1951</w:t>
      </w:r>
      <w:r>
        <w:rPr>
          <w:i/>
          <w:sz w:val="28"/>
          <w:szCs w:val="28"/>
        </w:rPr>
        <w:t>.</w:t>
      </w:r>
      <w:r w:rsidRPr="008D3404">
        <w:rPr>
          <w:i/>
          <w:sz w:val="28"/>
          <w:szCs w:val="28"/>
        </w:rPr>
        <w:t xml:space="preserve"> </w:t>
      </w:r>
      <w:r w:rsidRPr="008D3404">
        <w:rPr>
          <w:sz w:val="28"/>
          <w:szCs w:val="28"/>
        </w:rPr>
        <w:t>N</w:t>
      </w:r>
      <w:r>
        <w:rPr>
          <w:sz w:val="28"/>
          <w:szCs w:val="28"/>
        </w:rPr>
        <w:t>Y</w:t>
      </w:r>
      <w:r w:rsidRPr="008D3404">
        <w:rPr>
          <w:sz w:val="28"/>
          <w:szCs w:val="28"/>
        </w:rPr>
        <w:t>, NY: Simon and Schuster, 1951</w:t>
      </w:r>
      <w:r>
        <w:rPr>
          <w:sz w:val="28"/>
          <w:szCs w:val="28"/>
        </w:rPr>
        <w:t>.</w:t>
      </w:r>
    </w:p>
    <w:p w14:paraId="5552F363" w14:textId="77777777" w:rsidR="00A97A17" w:rsidRDefault="00A97A17" w:rsidP="00A97A17">
      <w:pPr>
        <w:rPr>
          <w:sz w:val="28"/>
          <w:szCs w:val="28"/>
        </w:rPr>
      </w:pPr>
    </w:p>
    <w:p w14:paraId="6A4FF24E" w14:textId="77777777" w:rsidR="00A97A17" w:rsidRDefault="00A97A17" w:rsidP="00A97A17">
      <w:pPr>
        <w:rPr>
          <w:sz w:val="28"/>
          <w:szCs w:val="28"/>
        </w:rPr>
      </w:pPr>
      <w:r w:rsidRPr="00A53FD5">
        <w:rPr>
          <w:sz w:val="28"/>
          <w:szCs w:val="28"/>
        </w:rPr>
        <w:t xml:space="preserve">McDonald, James G. </w:t>
      </w:r>
      <w:r w:rsidRPr="00A53FD5">
        <w:rPr>
          <w:i/>
          <w:sz w:val="28"/>
          <w:szCs w:val="28"/>
        </w:rPr>
        <w:t>To the Gates of Jerusalem: The Diaries and Papers of James G. McDonald: 1945-1947</w:t>
      </w:r>
      <w:r>
        <w:rPr>
          <w:i/>
          <w:sz w:val="28"/>
          <w:szCs w:val="28"/>
        </w:rPr>
        <w:t xml:space="preserve">. </w:t>
      </w:r>
      <w:r w:rsidRPr="00A53FD5">
        <w:rPr>
          <w:sz w:val="28"/>
          <w:szCs w:val="28"/>
        </w:rPr>
        <w:t>edited by Norman Goda, Barbara McDonald Stewart, Severin Hochberg, and Richard Brietman</w:t>
      </w:r>
      <w:r>
        <w:rPr>
          <w:sz w:val="28"/>
          <w:szCs w:val="28"/>
        </w:rPr>
        <w:t>.</w:t>
      </w:r>
      <w:r w:rsidRPr="00A53FD5">
        <w:rPr>
          <w:i/>
          <w:sz w:val="28"/>
          <w:szCs w:val="28"/>
        </w:rPr>
        <w:t xml:space="preserve"> </w:t>
      </w:r>
      <w:r w:rsidRPr="00A53FD5">
        <w:rPr>
          <w:sz w:val="28"/>
          <w:szCs w:val="28"/>
        </w:rPr>
        <w:t>Bloomington: Indiana University Press, 2015</w:t>
      </w:r>
      <w:r>
        <w:rPr>
          <w:sz w:val="28"/>
          <w:szCs w:val="28"/>
        </w:rPr>
        <w:t>.</w:t>
      </w:r>
    </w:p>
    <w:p w14:paraId="180F9645" w14:textId="77777777" w:rsidR="00A97A17" w:rsidRDefault="00A97A17" w:rsidP="00A97A17">
      <w:pPr>
        <w:rPr>
          <w:sz w:val="28"/>
          <w:szCs w:val="28"/>
        </w:rPr>
      </w:pPr>
    </w:p>
    <w:p w14:paraId="2904992E" w14:textId="77777777" w:rsidR="00A97A17" w:rsidRDefault="00A97A17" w:rsidP="00A97A17">
      <w:pPr>
        <w:rPr>
          <w:sz w:val="28"/>
          <w:szCs w:val="28"/>
        </w:rPr>
      </w:pPr>
      <w:r w:rsidRPr="000B6417">
        <w:rPr>
          <w:sz w:val="28"/>
          <w:szCs w:val="28"/>
        </w:rPr>
        <w:t xml:space="preserve">Mason, John B. </w:t>
      </w:r>
      <w:r>
        <w:rPr>
          <w:sz w:val="28"/>
          <w:szCs w:val="28"/>
        </w:rPr>
        <w:t>“</w:t>
      </w:r>
      <w:r w:rsidRPr="000B6417">
        <w:rPr>
          <w:sz w:val="28"/>
          <w:szCs w:val="28"/>
        </w:rPr>
        <w:t>Status of the Free City of Danzig under International Law</w:t>
      </w:r>
      <w:r>
        <w:rPr>
          <w:sz w:val="28"/>
          <w:szCs w:val="28"/>
        </w:rPr>
        <w:t>.”</w:t>
      </w:r>
      <w:r w:rsidRPr="000B6417">
        <w:rPr>
          <w:sz w:val="28"/>
          <w:szCs w:val="28"/>
        </w:rPr>
        <w:t xml:space="preserve"> </w:t>
      </w:r>
      <w:r w:rsidRPr="00380820">
        <w:rPr>
          <w:i/>
          <w:sz w:val="28"/>
          <w:szCs w:val="28"/>
        </w:rPr>
        <w:t>Rocky Mountain Law Review</w:t>
      </w:r>
      <w:r w:rsidRPr="000B6417">
        <w:rPr>
          <w:sz w:val="28"/>
          <w:szCs w:val="28"/>
        </w:rPr>
        <w:t xml:space="preserve"> </w:t>
      </w:r>
      <w:r>
        <w:rPr>
          <w:sz w:val="28"/>
          <w:szCs w:val="28"/>
        </w:rPr>
        <w:t xml:space="preserve">5, </w:t>
      </w:r>
      <w:r w:rsidRPr="000B6417">
        <w:rPr>
          <w:sz w:val="28"/>
          <w:szCs w:val="28"/>
        </w:rPr>
        <w:t>(1933)</w:t>
      </w:r>
      <w:r>
        <w:rPr>
          <w:sz w:val="28"/>
          <w:szCs w:val="28"/>
        </w:rPr>
        <w:t>: 85-99.</w:t>
      </w:r>
    </w:p>
    <w:p w14:paraId="30753175" w14:textId="77777777" w:rsidR="00A97A17" w:rsidRDefault="00A97A17" w:rsidP="00A97A17">
      <w:pPr>
        <w:rPr>
          <w:sz w:val="28"/>
          <w:szCs w:val="28"/>
        </w:rPr>
      </w:pPr>
    </w:p>
    <w:p w14:paraId="1AF734BE" w14:textId="77777777" w:rsidR="00A97A17" w:rsidRDefault="00A97A17" w:rsidP="00A97A17">
      <w:pPr>
        <w:rPr>
          <w:sz w:val="28"/>
          <w:szCs w:val="28"/>
        </w:rPr>
      </w:pPr>
      <w:r w:rsidRPr="00C65DBB">
        <w:rPr>
          <w:sz w:val="28"/>
          <w:szCs w:val="28"/>
        </w:rPr>
        <w:t>Mohn, Paul</w:t>
      </w:r>
      <w:r>
        <w:rPr>
          <w:sz w:val="28"/>
          <w:szCs w:val="28"/>
        </w:rPr>
        <w:t>.</w:t>
      </w:r>
      <w:r w:rsidRPr="00C65DBB">
        <w:rPr>
          <w:sz w:val="28"/>
          <w:szCs w:val="28"/>
        </w:rPr>
        <w:t xml:space="preserve"> </w:t>
      </w:r>
      <w:r>
        <w:rPr>
          <w:sz w:val="28"/>
          <w:szCs w:val="28"/>
        </w:rPr>
        <w:t>“</w:t>
      </w:r>
      <w:r w:rsidRPr="00C65DBB">
        <w:rPr>
          <w:sz w:val="28"/>
          <w:szCs w:val="28"/>
        </w:rPr>
        <w:t>Jerusalem and the United Nations</w:t>
      </w:r>
      <w:r>
        <w:rPr>
          <w:sz w:val="28"/>
          <w:szCs w:val="28"/>
        </w:rPr>
        <w:t>.”</w:t>
      </w:r>
      <w:r w:rsidRPr="00C65DBB">
        <w:rPr>
          <w:sz w:val="28"/>
          <w:szCs w:val="28"/>
        </w:rPr>
        <w:t xml:space="preserve"> </w:t>
      </w:r>
      <w:r w:rsidRPr="00C65DBB">
        <w:rPr>
          <w:i/>
          <w:sz w:val="28"/>
          <w:szCs w:val="28"/>
        </w:rPr>
        <w:t>International Conciliation</w:t>
      </w:r>
      <w:r>
        <w:rPr>
          <w:i/>
          <w:sz w:val="28"/>
          <w:szCs w:val="28"/>
        </w:rPr>
        <w:t xml:space="preserve"> </w:t>
      </w:r>
      <w:r>
        <w:rPr>
          <w:sz w:val="28"/>
          <w:szCs w:val="28"/>
        </w:rPr>
        <w:t>28,</w:t>
      </w:r>
      <w:r w:rsidRPr="00C65DBB">
        <w:rPr>
          <w:sz w:val="28"/>
          <w:szCs w:val="28"/>
        </w:rPr>
        <w:t xml:space="preserve">  (1950)</w:t>
      </w:r>
      <w:r>
        <w:rPr>
          <w:sz w:val="28"/>
          <w:szCs w:val="28"/>
        </w:rPr>
        <w:t>: 425-471.</w:t>
      </w:r>
    </w:p>
    <w:p w14:paraId="18AF0B55" w14:textId="77777777" w:rsidR="00A97A17" w:rsidRDefault="00A97A17" w:rsidP="00A97A17">
      <w:pPr>
        <w:rPr>
          <w:sz w:val="28"/>
          <w:szCs w:val="28"/>
        </w:rPr>
      </w:pPr>
    </w:p>
    <w:p w14:paraId="0E527919" w14:textId="77777777" w:rsidR="00A97A17" w:rsidRDefault="00A97A17" w:rsidP="00A97A17">
      <w:pPr>
        <w:rPr>
          <w:sz w:val="28"/>
          <w:szCs w:val="28"/>
        </w:rPr>
      </w:pPr>
      <w:r w:rsidRPr="004F64F6">
        <w:rPr>
          <w:sz w:val="28"/>
          <w:szCs w:val="28"/>
        </w:rPr>
        <w:t>Mohn,</w:t>
      </w:r>
      <w:r>
        <w:rPr>
          <w:sz w:val="28"/>
          <w:szCs w:val="28"/>
        </w:rPr>
        <w:t xml:space="preserve"> </w:t>
      </w:r>
      <w:r w:rsidRPr="004F64F6">
        <w:rPr>
          <w:sz w:val="28"/>
          <w:szCs w:val="28"/>
        </w:rPr>
        <w:t>Paul</w:t>
      </w:r>
      <w:r>
        <w:rPr>
          <w:sz w:val="28"/>
          <w:szCs w:val="28"/>
        </w:rPr>
        <w:t>.</w:t>
      </w:r>
      <w:r w:rsidRPr="004F64F6">
        <w:rPr>
          <w:sz w:val="28"/>
          <w:szCs w:val="28"/>
        </w:rPr>
        <w:t xml:space="preserve"> “Problems of Truce Supervision</w:t>
      </w:r>
      <w:r>
        <w:rPr>
          <w:sz w:val="28"/>
          <w:szCs w:val="28"/>
        </w:rPr>
        <w:t>.</w:t>
      </w:r>
      <w:r w:rsidRPr="004F64F6">
        <w:rPr>
          <w:sz w:val="28"/>
          <w:szCs w:val="28"/>
        </w:rPr>
        <w:t xml:space="preserve">” </w:t>
      </w:r>
      <w:r w:rsidRPr="004F64F6">
        <w:rPr>
          <w:i/>
          <w:sz w:val="28"/>
          <w:szCs w:val="28"/>
        </w:rPr>
        <w:t>International Conciliation</w:t>
      </w:r>
      <w:r>
        <w:rPr>
          <w:i/>
          <w:sz w:val="28"/>
          <w:szCs w:val="28"/>
        </w:rPr>
        <w:t xml:space="preserve"> </w:t>
      </w:r>
      <w:r w:rsidRPr="00365BDA">
        <w:rPr>
          <w:sz w:val="28"/>
          <w:szCs w:val="28"/>
        </w:rPr>
        <w:t xml:space="preserve">29, </w:t>
      </w:r>
      <w:r w:rsidRPr="004F64F6">
        <w:rPr>
          <w:sz w:val="28"/>
          <w:szCs w:val="28"/>
        </w:rPr>
        <w:t>(1952)</w:t>
      </w:r>
      <w:r>
        <w:rPr>
          <w:sz w:val="28"/>
          <w:szCs w:val="28"/>
        </w:rPr>
        <w:t>:</w:t>
      </w:r>
      <w:r w:rsidRPr="004F64F6">
        <w:rPr>
          <w:sz w:val="28"/>
          <w:szCs w:val="28"/>
        </w:rPr>
        <w:t xml:space="preserve"> 51-99.  </w:t>
      </w:r>
    </w:p>
    <w:p w14:paraId="0CFC76EC" w14:textId="77777777" w:rsidR="00A97A17" w:rsidRDefault="00A97A17" w:rsidP="00A97A17">
      <w:pPr>
        <w:rPr>
          <w:sz w:val="28"/>
          <w:szCs w:val="28"/>
        </w:rPr>
      </w:pPr>
    </w:p>
    <w:p w14:paraId="4C6AF01C" w14:textId="77777777" w:rsidR="00A97A17" w:rsidRDefault="00A97A17" w:rsidP="00A97A17">
      <w:pPr>
        <w:rPr>
          <w:sz w:val="28"/>
          <w:szCs w:val="28"/>
        </w:rPr>
      </w:pPr>
      <w:r w:rsidRPr="00603854">
        <w:rPr>
          <w:sz w:val="28"/>
          <w:szCs w:val="28"/>
        </w:rPr>
        <w:t>Morrow, Ian</w:t>
      </w:r>
      <w:r>
        <w:rPr>
          <w:sz w:val="28"/>
          <w:szCs w:val="28"/>
        </w:rPr>
        <w:t>.</w:t>
      </w:r>
      <w:r w:rsidRPr="00603854">
        <w:rPr>
          <w:sz w:val="28"/>
          <w:szCs w:val="28"/>
        </w:rPr>
        <w:t xml:space="preserve"> </w:t>
      </w:r>
      <w:r w:rsidRPr="00603854">
        <w:rPr>
          <w:i/>
          <w:sz w:val="28"/>
          <w:szCs w:val="28"/>
        </w:rPr>
        <w:t>The Peace Settlement in the German Polish Borderlands: A Study of Conditions To-day in the pre-War Prussian Provinces of East and West Prussia</w:t>
      </w:r>
      <w:r>
        <w:rPr>
          <w:i/>
          <w:sz w:val="28"/>
          <w:szCs w:val="28"/>
        </w:rPr>
        <w:t>.</w:t>
      </w:r>
      <w:r w:rsidRPr="00603854">
        <w:rPr>
          <w:sz w:val="28"/>
          <w:szCs w:val="28"/>
        </w:rPr>
        <w:t xml:space="preserve"> London: Oxford University Press, 1936</w:t>
      </w:r>
      <w:r>
        <w:rPr>
          <w:sz w:val="28"/>
          <w:szCs w:val="28"/>
        </w:rPr>
        <w:t>.</w:t>
      </w:r>
    </w:p>
    <w:p w14:paraId="3D8A3ABD" w14:textId="77777777" w:rsidR="00A97A17" w:rsidRDefault="00A97A17" w:rsidP="00A97A17">
      <w:pPr>
        <w:rPr>
          <w:sz w:val="28"/>
          <w:szCs w:val="28"/>
        </w:rPr>
      </w:pPr>
    </w:p>
    <w:p w14:paraId="7AFC32F5" w14:textId="77777777" w:rsidR="00A97A17" w:rsidRDefault="00A97A17" w:rsidP="00A97A17">
      <w:pPr>
        <w:rPr>
          <w:sz w:val="28"/>
          <w:szCs w:val="28"/>
        </w:rPr>
      </w:pPr>
      <w:r w:rsidRPr="00627946">
        <w:rPr>
          <w:sz w:val="28"/>
          <w:szCs w:val="28"/>
        </w:rPr>
        <w:t>Morrow,</w:t>
      </w:r>
      <w:r>
        <w:rPr>
          <w:sz w:val="28"/>
          <w:szCs w:val="28"/>
        </w:rPr>
        <w:t xml:space="preserve"> </w:t>
      </w:r>
      <w:r w:rsidRPr="00627946">
        <w:rPr>
          <w:sz w:val="28"/>
          <w:szCs w:val="28"/>
        </w:rPr>
        <w:t>Ian F. D.  “The International Status of the Free City of Danzig</w:t>
      </w:r>
      <w:r>
        <w:rPr>
          <w:sz w:val="28"/>
          <w:szCs w:val="28"/>
        </w:rPr>
        <w:t>.</w:t>
      </w:r>
      <w:r w:rsidRPr="00627946">
        <w:rPr>
          <w:sz w:val="28"/>
          <w:szCs w:val="28"/>
        </w:rPr>
        <w:t xml:space="preserve">” </w:t>
      </w:r>
      <w:r w:rsidRPr="00627946">
        <w:rPr>
          <w:i/>
          <w:sz w:val="28"/>
          <w:szCs w:val="28"/>
        </w:rPr>
        <w:t>British Year Book of International Law</w:t>
      </w:r>
      <w:r>
        <w:rPr>
          <w:i/>
          <w:sz w:val="28"/>
          <w:szCs w:val="28"/>
        </w:rPr>
        <w:t xml:space="preserve"> </w:t>
      </w:r>
      <w:r w:rsidRPr="00627946">
        <w:rPr>
          <w:sz w:val="28"/>
          <w:szCs w:val="28"/>
        </w:rPr>
        <w:t>18</w:t>
      </w:r>
      <w:r>
        <w:rPr>
          <w:sz w:val="28"/>
          <w:szCs w:val="28"/>
        </w:rPr>
        <w:t>,</w:t>
      </w:r>
      <w:r w:rsidRPr="00627946">
        <w:rPr>
          <w:sz w:val="28"/>
          <w:szCs w:val="28"/>
        </w:rPr>
        <w:t xml:space="preserve"> (1937)</w:t>
      </w:r>
      <w:r>
        <w:rPr>
          <w:sz w:val="28"/>
          <w:szCs w:val="28"/>
        </w:rPr>
        <w:t>: 114-126.</w:t>
      </w:r>
    </w:p>
    <w:p w14:paraId="383BDA17" w14:textId="77777777" w:rsidR="00A97A17" w:rsidRDefault="00A97A17" w:rsidP="00A97A17">
      <w:pPr>
        <w:rPr>
          <w:sz w:val="28"/>
          <w:szCs w:val="28"/>
        </w:rPr>
      </w:pPr>
    </w:p>
    <w:p w14:paraId="6B2A6C36" w14:textId="77777777" w:rsidR="00A97A17" w:rsidRDefault="00A97A17" w:rsidP="00A97A17">
      <w:pPr>
        <w:rPr>
          <w:sz w:val="28"/>
          <w:szCs w:val="28"/>
        </w:rPr>
      </w:pPr>
      <w:r w:rsidRPr="000063E5">
        <w:rPr>
          <w:sz w:val="28"/>
          <w:szCs w:val="28"/>
        </w:rPr>
        <w:t>Nevinson,</w:t>
      </w:r>
      <w:r>
        <w:rPr>
          <w:sz w:val="28"/>
          <w:szCs w:val="28"/>
        </w:rPr>
        <w:t xml:space="preserve"> </w:t>
      </w:r>
      <w:r w:rsidRPr="000063E5">
        <w:rPr>
          <w:sz w:val="28"/>
          <w:szCs w:val="28"/>
        </w:rPr>
        <w:t>Henry W.  “Jews and Arabs in Palestine</w:t>
      </w:r>
      <w:r>
        <w:rPr>
          <w:sz w:val="28"/>
          <w:szCs w:val="28"/>
        </w:rPr>
        <w:t>.</w:t>
      </w:r>
      <w:r w:rsidRPr="000063E5">
        <w:rPr>
          <w:sz w:val="28"/>
          <w:szCs w:val="28"/>
        </w:rPr>
        <w:t xml:space="preserve">” </w:t>
      </w:r>
      <w:r w:rsidRPr="000063E5">
        <w:rPr>
          <w:i/>
          <w:iCs/>
          <w:sz w:val="28"/>
          <w:szCs w:val="28"/>
        </w:rPr>
        <w:t xml:space="preserve">Foreign Affairs 8, </w:t>
      </w:r>
      <w:r w:rsidRPr="000063E5">
        <w:rPr>
          <w:sz w:val="28"/>
          <w:szCs w:val="28"/>
        </w:rPr>
        <w:t>No 2, (Jan, 1930</w:t>
      </w:r>
      <w:r>
        <w:rPr>
          <w:sz w:val="28"/>
          <w:szCs w:val="28"/>
        </w:rPr>
        <w:t>: 225-236.</w:t>
      </w:r>
    </w:p>
    <w:p w14:paraId="558634E0" w14:textId="77777777" w:rsidR="00A97A17" w:rsidRDefault="00A97A17" w:rsidP="00A97A17">
      <w:pPr>
        <w:rPr>
          <w:sz w:val="28"/>
          <w:szCs w:val="28"/>
        </w:rPr>
      </w:pPr>
    </w:p>
    <w:p w14:paraId="18A74686" w14:textId="77777777" w:rsidR="00A97A17" w:rsidRDefault="00A97A17" w:rsidP="00A97A17">
      <w:pPr>
        <w:rPr>
          <w:sz w:val="28"/>
          <w:szCs w:val="28"/>
        </w:rPr>
      </w:pPr>
      <w:r w:rsidRPr="004F4B95">
        <w:rPr>
          <w:sz w:val="28"/>
          <w:szCs w:val="28"/>
        </w:rPr>
        <w:t xml:space="preserve">Oppenheim, </w:t>
      </w:r>
      <w:r>
        <w:rPr>
          <w:sz w:val="28"/>
          <w:szCs w:val="28"/>
        </w:rPr>
        <w:t xml:space="preserve">L. </w:t>
      </w:r>
      <w:r w:rsidRPr="004F4B95">
        <w:rPr>
          <w:i/>
          <w:sz w:val="28"/>
          <w:szCs w:val="28"/>
        </w:rPr>
        <w:t xml:space="preserve">International Law: A Treatise, Vol II, War, </w:t>
      </w:r>
      <w:r w:rsidRPr="004F4B95">
        <w:rPr>
          <w:sz w:val="28"/>
          <w:szCs w:val="28"/>
        </w:rPr>
        <w:t>edited by H. Lauterpacht</w:t>
      </w:r>
      <w:r>
        <w:rPr>
          <w:sz w:val="28"/>
          <w:szCs w:val="28"/>
        </w:rPr>
        <w:t>.</w:t>
      </w:r>
      <w:r w:rsidRPr="004F4B95">
        <w:rPr>
          <w:sz w:val="28"/>
          <w:szCs w:val="28"/>
        </w:rPr>
        <w:t xml:space="preserve"> London: Longmans, Green and Co, 1947</w:t>
      </w:r>
      <w:r>
        <w:rPr>
          <w:sz w:val="28"/>
          <w:szCs w:val="28"/>
        </w:rPr>
        <w:t>.</w:t>
      </w:r>
    </w:p>
    <w:p w14:paraId="644951A7" w14:textId="77777777" w:rsidR="00A97A17" w:rsidRDefault="00A97A17" w:rsidP="00A97A17">
      <w:pPr>
        <w:rPr>
          <w:sz w:val="28"/>
          <w:szCs w:val="28"/>
        </w:rPr>
      </w:pPr>
    </w:p>
    <w:p w14:paraId="6BCE5EBD" w14:textId="77777777" w:rsidR="00A97A17" w:rsidRDefault="00A97A17" w:rsidP="00A97A17">
      <w:pPr>
        <w:rPr>
          <w:sz w:val="28"/>
          <w:szCs w:val="28"/>
        </w:rPr>
      </w:pPr>
      <w:r w:rsidRPr="001A5811">
        <w:rPr>
          <w:sz w:val="28"/>
          <w:szCs w:val="28"/>
        </w:rPr>
        <w:t>“The Permanent Statute for the Free Territory of Trieste</w:t>
      </w:r>
      <w:r>
        <w:rPr>
          <w:sz w:val="28"/>
          <w:szCs w:val="28"/>
        </w:rPr>
        <w:t>.</w:t>
      </w:r>
      <w:r w:rsidRPr="001A5811">
        <w:rPr>
          <w:sz w:val="28"/>
          <w:szCs w:val="28"/>
        </w:rPr>
        <w:t xml:space="preserve">” </w:t>
      </w:r>
      <w:r w:rsidRPr="001A5811">
        <w:rPr>
          <w:i/>
          <w:sz w:val="28"/>
          <w:szCs w:val="28"/>
        </w:rPr>
        <w:t xml:space="preserve">International Organization </w:t>
      </w:r>
      <w:r w:rsidRPr="001A5811">
        <w:rPr>
          <w:sz w:val="28"/>
          <w:szCs w:val="28"/>
        </w:rPr>
        <w:t xml:space="preserve">1, </w:t>
      </w:r>
      <w:r>
        <w:rPr>
          <w:sz w:val="28"/>
          <w:szCs w:val="28"/>
        </w:rPr>
        <w:t>n</w:t>
      </w:r>
      <w:r w:rsidRPr="001A5811">
        <w:rPr>
          <w:sz w:val="28"/>
          <w:szCs w:val="28"/>
        </w:rPr>
        <w:t>o.</w:t>
      </w:r>
      <w:r>
        <w:rPr>
          <w:sz w:val="28"/>
          <w:szCs w:val="28"/>
        </w:rPr>
        <w:t xml:space="preserve"> </w:t>
      </w:r>
      <w:r w:rsidRPr="001A5811">
        <w:rPr>
          <w:sz w:val="28"/>
          <w:szCs w:val="28"/>
        </w:rPr>
        <w:t>2, (June, 1947)</w:t>
      </w:r>
      <w:r>
        <w:rPr>
          <w:sz w:val="28"/>
          <w:szCs w:val="28"/>
        </w:rPr>
        <w:t>:</w:t>
      </w:r>
      <w:r w:rsidRPr="001A5811">
        <w:rPr>
          <w:sz w:val="28"/>
          <w:szCs w:val="28"/>
        </w:rPr>
        <w:t xml:space="preserve"> 410-419.</w:t>
      </w:r>
    </w:p>
    <w:p w14:paraId="67156827" w14:textId="77777777" w:rsidR="00A97A17" w:rsidRDefault="00A97A17" w:rsidP="00A97A17">
      <w:pPr>
        <w:rPr>
          <w:sz w:val="28"/>
          <w:szCs w:val="28"/>
        </w:rPr>
      </w:pPr>
    </w:p>
    <w:p w14:paraId="3B4984CC" w14:textId="77777777" w:rsidR="00A97A17" w:rsidRDefault="00A97A17" w:rsidP="00A97A17">
      <w:pPr>
        <w:rPr>
          <w:sz w:val="28"/>
          <w:szCs w:val="28"/>
        </w:rPr>
      </w:pPr>
      <w:r w:rsidRPr="00E10318">
        <w:rPr>
          <w:sz w:val="28"/>
          <w:szCs w:val="28"/>
        </w:rPr>
        <w:t>Potter, Pitman B. “Article XIX of the Covenant of the League of Nations”</w:t>
      </w:r>
      <w:r>
        <w:rPr>
          <w:sz w:val="28"/>
          <w:szCs w:val="28"/>
        </w:rPr>
        <w:t>.</w:t>
      </w:r>
      <w:r w:rsidRPr="00E10318">
        <w:rPr>
          <w:sz w:val="28"/>
          <w:szCs w:val="28"/>
        </w:rPr>
        <w:t xml:space="preserve"> </w:t>
      </w:r>
      <w:r w:rsidRPr="00E10318">
        <w:rPr>
          <w:i/>
          <w:sz w:val="28"/>
          <w:szCs w:val="28"/>
        </w:rPr>
        <w:t xml:space="preserve">Geneva Studies, </w:t>
      </w:r>
      <w:r w:rsidRPr="00E10318">
        <w:rPr>
          <w:sz w:val="28"/>
          <w:szCs w:val="28"/>
        </w:rPr>
        <w:t>Vol XIL No 2, Aug, 1941</w:t>
      </w:r>
      <w:r>
        <w:rPr>
          <w:sz w:val="28"/>
          <w:szCs w:val="28"/>
        </w:rPr>
        <w:t>.</w:t>
      </w:r>
    </w:p>
    <w:p w14:paraId="0E785DC7" w14:textId="77777777" w:rsidR="00A97A17" w:rsidRDefault="00A97A17" w:rsidP="00A97A17">
      <w:pPr>
        <w:rPr>
          <w:sz w:val="28"/>
          <w:szCs w:val="28"/>
        </w:rPr>
      </w:pPr>
    </w:p>
    <w:p w14:paraId="3AB262B3" w14:textId="77777777" w:rsidR="00A97A17" w:rsidRDefault="00A97A17" w:rsidP="00A97A17">
      <w:pPr>
        <w:rPr>
          <w:sz w:val="28"/>
          <w:szCs w:val="28"/>
        </w:rPr>
      </w:pPr>
      <w:r>
        <w:rPr>
          <w:sz w:val="28"/>
          <w:szCs w:val="28"/>
        </w:rPr>
        <w:t xml:space="preserve">“The Present Status of the Saar,” </w:t>
      </w:r>
      <w:r>
        <w:rPr>
          <w:i/>
          <w:sz w:val="28"/>
          <w:szCs w:val="28"/>
        </w:rPr>
        <w:t xml:space="preserve">Documents and State Papers </w:t>
      </w:r>
      <w:r>
        <w:rPr>
          <w:sz w:val="28"/>
          <w:szCs w:val="28"/>
        </w:rPr>
        <w:t>1,</w:t>
      </w:r>
      <w:r>
        <w:rPr>
          <w:i/>
          <w:sz w:val="28"/>
          <w:szCs w:val="28"/>
        </w:rPr>
        <w:t xml:space="preserve"> </w:t>
      </w:r>
      <w:r>
        <w:rPr>
          <w:sz w:val="28"/>
          <w:szCs w:val="28"/>
        </w:rPr>
        <w:t>(1948): 435-450.</w:t>
      </w:r>
    </w:p>
    <w:p w14:paraId="68814AD6" w14:textId="77777777" w:rsidR="00A97A17" w:rsidRDefault="00A97A17" w:rsidP="00A97A17">
      <w:pPr>
        <w:rPr>
          <w:sz w:val="28"/>
          <w:szCs w:val="28"/>
        </w:rPr>
      </w:pPr>
    </w:p>
    <w:p w14:paraId="4320DD77" w14:textId="77777777" w:rsidR="00A97A17" w:rsidRPr="004E7E32" w:rsidRDefault="00A97A17" w:rsidP="00A97A17">
      <w:pPr>
        <w:rPr>
          <w:color w:val="000000" w:themeColor="text1"/>
          <w:sz w:val="28"/>
          <w:szCs w:val="28"/>
        </w:rPr>
      </w:pPr>
      <w:r w:rsidRPr="004E7E32">
        <w:rPr>
          <w:color w:val="000000" w:themeColor="text1"/>
          <w:sz w:val="28"/>
          <w:szCs w:val="28"/>
        </w:rPr>
        <w:t xml:space="preserve"> “Provisional Instructions of the Trusteeship Council to the Governor of the City of </w:t>
      </w:r>
      <w:r>
        <w:rPr>
          <w:color w:val="000000" w:themeColor="text1"/>
          <w:sz w:val="28"/>
          <w:szCs w:val="28"/>
        </w:rPr>
        <w:t>Jerusalem</w:t>
      </w:r>
      <w:r w:rsidRPr="004E7E32">
        <w:rPr>
          <w:color w:val="000000" w:themeColor="text1"/>
          <w:sz w:val="28"/>
          <w:szCs w:val="28"/>
        </w:rPr>
        <w:t xml:space="preserve">”, T/144, 9 March 1948.  </w:t>
      </w:r>
    </w:p>
    <w:p w14:paraId="5EDD0362" w14:textId="77777777" w:rsidR="00A97A17" w:rsidRDefault="00A97A17" w:rsidP="00A97A17">
      <w:pPr>
        <w:rPr>
          <w:sz w:val="28"/>
          <w:szCs w:val="28"/>
        </w:rPr>
      </w:pPr>
    </w:p>
    <w:p w14:paraId="5FD7A8AE" w14:textId="77777777" w:rsidR="00A97A17" w:rsidRDefault="00A97A17" w:rsidP="00A97A17">
      <w:pPr>
        <w:rPr>
          <w:sz w:val="28"/>
          <w:szCs w:val="28"/>
        </w:rPr>
      </w:pPr>
      <w:r w:rsidRPr="00B64CBE">
        <w:rPr>
          <w:sz w:val="28"/>
          <w:szCs w:val="28"/>
        </w:rPr>
        <w:t>Rackauskas, Constantine</w:t>
      </w:r>
      <w:r>
        <w:rPr>
          <w:sz w:val="28"/>
          <w:szCs w:val="28"/>
        </w:rPr>
        <w:t>.</w:t>
      </w:r>
      <w:r w:rsidRPr="00B64CBE">
        <w:rPr>
          <w:sz w:val="28"/>
          <w:szCs w:val="28"/>
        </w:rPr>
        <w:t xml:space="preserve"> “The Jerusalem Problem</w:t>
      </w:r>
      <w:r>
        <w:rPr>
          <w:sz w:val="28"/>
          <w:szCs w:val="28"/>
        </w:rPr>
        <w:t>.</w:t>
      </w:r>
      <w:r w:rsidRPr="00B64CBE">
        <w:rPr>
          <w:sz w:val="28"/>
          <w:szCs w:val="28"/>
        </w:rPr>
        <w:t xml:space="preserve">” </w:t>
      </w:r>
      <w:r w:rsidRPr="00B64CBE">
        <w:rPr>
          <w:i/>
          <w:sz w:val="28"/>
          <w:szCs w:val="28"/>
        </w:rPr>
        <w:t xml:space="preserve">Thought: Fordham University Quarterly </w:t>
      </w:r>
      <w:r w:rsidRPr="00B64CBE">
        <w:rPr>
          <w:sz w:val="28"/>
          <w:szCs w:val="28"/>
        </w:rPr>
        <w:t xml:space="preserve">25, </w:t>
      </w:r>
      <w:r>
        <w:rPr>
          <w:sz w:val="28"/>
          <w:szCs w:val="28"/>
        </w:rPr>
        <w:t xml:space="preserve">no. </w:t>
      </w:r>
      <w:r w:rsidRPr="00B64CBE">
        <w:rPr>
          <w:sz w:val="28"/>
          <w:szCs w:val="28"/>
        </w:rPr>
        <w:t xml:space="preserve">96, </w:t>
      </w:r>
      <w:r>
        <w:rPr>
          <w:sz w:val="28"/>
          <w:szCs w:val="28"/>
        </w:rPr>
        <w:t>(</w:t>
      </w:r>
      <w:r w:rsidRPr="00B64CBE">
        <w:rPr>
          <w:sz w:val="28"/>
          <w:szCs w:val="28"/>
        </w:rPr>
        <w:t>March, 1950</w:t>
      </w:r>
      <w:r>
        <w:rPr>
          <w:sz w:val="28"/>
          <w:szCs w:val="28"/>
        </w:rPr>
        <w:t>):</w:t>
      </w:r>
      <w:r w:rsidRPr="00B64CBE">
        <w:rPr>
          <w:sz w:val="28"/>
          <w:szCs w:val="28"/>
        </w:rPr>
        <w:t xml:space="preserve"> 100-114</w:t>
      </w:r>
      <w:r>
        <w:rPr>
          <w:sz w:val="28"/>
          <w:szCs w:val="28"/>
        </w:rPr>
        <w:t>.</w:t>
      </w:r>
    </w:p>
    <w:p w14:paraId="6F6F127F" w14:textId="77777777" w:rsidR="00A97A17" w:rsidRDefault="00A97A17" w:rsidP="00A97A17">
      <w:pPr>
        <w:rPr>
          <w:sz w:val="28"/>
          <w:szCs w:val="28"/>
        </w:rPr>
      </w:pPr>
    </w:p>
    <w:p w14:paraId="13257293" w14:textId="77777777" w:rsidR="00A97A17" w:rsidRDefault="00A97A17" w:rsidP="00A97A17">
      <w:pPr>
        <w:rPr>
          <w:sz w:val="28"/>
          <w:szCs w:val="28"/>
        </w:rPr>
      </w:pPr>
      <w:r>
        <w:rPr>
          <w:sz w:val="28"/>
          <w:szCs w:val="28"/>
        </w:rPr>
        <w:t>Rivlin, Benjamin. “</w:t>
      </w:r>
      <w:r w:rsidRPr="00D029C7">
        <w:rPr>
          <w:sz w:val="28"/>
          <w:szCs w:val="28"/>
        </w:rPr>
        <w:t>Unity and Nationalism in Libya</w:t>
      </w:r>
      <w:r>
        <w:rPr>
          <w:sz w:val="28"/>
          <w:szCs w:val="28"/>
        </w:rPr>
        <w:t xml:space="preserve">.” </w:t>
      </w:r>
      <w:r w:rsidRPr="00D029C7">
        <w:rPr>
          <w:i/>
          <w:sz w:val="28"/>
          <w:szCs w:val="28"/>
        </w:rPr>
        <w:t>Middle East Journal</w:t>
      </w:r>
      <w:r>
        <w:rPr>
          <w:i/>
          <w:sz w:val="28"/>
          <w:szCs w:val="28"/>
        </w:rPr>
        <w:t xml:space="preserve"> </w:t>
      </w:r>
      <w:r w:rsidRPr="00D029C7">
        <w:rPr>
          <w:sz w:val="28"/>
          <w:szCs w:val="28"/>
        </w:rPr>
        <w:t xml:space="preserve"> 3, </w:t>
      </w:r>
      <w:r>
        <w:rPr>
          <w:sz w:val="28"/>
          <w:szCs w:val="28"/>
        </w:rPr>
        <w:t>n</w:t>
      </w:r>
      <w:r w:rsidRPr="00D029C7">
        <w:rPr>
          <w:sz w:val="28"/>
          <w:szCs w:val="28"/>
        </w:rPr>
        <w:t>o. 1 (Jan., 1949)</w:t>
      </w:r>
      <w:r>
        <w:rPr>
          <w:sz w:val="28"/>
          <w:szCs w:val="28"/>
        </w:rPr>
        <w:t>:</w:t>
      </w:r>
      <w:r w:rsidRPr="00D029C7">
        <w:rPr>
          <w:sz w:val="28"/>
          <w:szCs w:val="28"/>
        </w:rPr>
        <w:t xml:space="preserve"> 31-44</w:t>
      </w:r>
      <w:r>
        <w:rPr>
          <w:sz w:val="28"/>
          <w:szCs w:val="28"/>
        </w:rPr>
        <w:t>.</w:t>
      </w:r>
    </w:p>
    <w:p w14:paraId="1EA91C30" w14:textId="77777777" w:rsidR="00A97A17" w:rsidRDefault="00A97A17" w:rsidP="00A97A17">
      <w:pPr>
        <w:rPr>
          <w:sz w:val="28"/>
          <w:szCs w:val="28"/>
        </w:rPr>
      </w:pPr>
    </w:p>
    <w:p w14:paraId="58AB2C69" w14:textId="77777777" w:rsidR="00A97A17" w:rsidRDefault="00A97A17" w:rsidP="00A97A17">
      <w:pPr>
        <w:rPr>
          <w:sz w:val="28"/>
          <w:szCs w:val="28"/>
        </w:rPr>
      </w:pPr>
      <w:r w:rsidRPr="00345A87">
        <w:rPr>
          <w:sz w:val="28"/>
          <w:szCs w:val="28"/>
        </w:rPr>
        <w:t>Samuel, Viscount</w:t>
      </w:r>
      <w:r>
        <w:rPr>
          <w:sz w:val="28"/>
          <w:szCs w:val="28"/>
        </w:rPr>
        <w:t>.</w:t>
      </w:r>
      <w:r w:rsidRPr="00345A87">
        <w:rPr>
          <w:sz w:val="28"/>
          <w:szCs w:val="28"/>
        </w:rPr>
        <w:t xml:space="preserve"> “Alternatives to Partition</w:t>
      </w:r>
      <w:r>
        <w:rPr>
          <w:sz w:val="28"/>
          <w:szCs w:val="28"/>
        </w:rPr>
        <w:t>.</w:t>
      </w:r>
      <w:r w:rsidRPr="00345A87">
        <w:rPr>
          <w:sz w:val="28"/>
          <w:szCs w:val="28"/>
        </w:rPr>
        <w:t xml:space="preserve">” </w:t>
      </w:r>
      <w:r w:rsidRPr="00345A87">
        <w:rPr>
          <w:i/>
          <w:sz w:val="28"/>
          <w:szCs w:val="28"/>
        </w:rPr>
        <w:t>Foreign Affairs</w:t>
      </w:r>
      <w:r w:rsidRPr="00345A87">
        <w:rPr>
          <w:sz w:val="28"/>
          <w:szCs w:val="28"/>
        </w:rPr>
        <w:t xml:space="preserve"> 16, No. 1 (Oct., 1937)</w:t>
      </w:r>
      <w:r>
        <w:rPr>
          <w:sz w:val="28"/>
          <w:szCs w:val="28"/>
        </w:rPr>
        <w:t>: 143-155.</w:t>
      </w:r>
    </w:p>
    <w:p w14:paraId="39D3A338" w14:textId="77777777" w:rsidR="00A97A17" w:rsidRDefault="00A97A17" w:rsidP="00A97A17">
      <w:pPr>
        <w:rPr>
          <w:sz w:val="28"/>
          <w:szCs w:val="28"/>
        </w:rPr>
      </w:pPr>
    </w:p>
    <w:p w14:paraId="0729647A" w14:textId="77777777" w:rsidR="00A97A17" w:rsidRDefault="00A97A17" w:rsidP="00A97A17">
      <w:pPr>
        <w:rPr>
          <w:sz w:val="28"/>
          <w:szCs w:val="28"/>
        </w:rPr>
      </w:pPr>
      <w:r w:rsidRPr="001A5811">
        <w:rPr>
          <w:sz w:val="28"/>
          <w:szCs w:val="28"/>
        </w:rPr>
        <w:t>Schuller,</w:t>
      </w:r>
      <w:r>
        <w:rPr>
          <w:sz w:val="28"/>
          <w:szCs w:val="28"/>
        </w:rPr>
        <w:t xml:space="preserve"> </w:t>
      </w:r>
      <w:r w:rsidRPr="001A5811">
        <w:rPr>
          <w:sz w:val="28"/>
          <w:szCs w:val="28"/>
        </w:rPr>
        <w:t>Richard</w:t>
      </w:r>
      <w:r>
        <w:rPr>
          <w:sz w:val="28"/>
          <w:szCs w:val="28"/>
        </w:rPr>
        <w:t>.</w:t>
      </w:r>
      <w:r w:rsidRPr="001A5811">
        <w:rPr>
          <w:sz w:val="28"/>
          <w:szCs w:val="28"/>
        </w:rPr>
        <w:t xml:space="preserve"> “Trieste,” </w:t>
      </w:r>
      <w:r w:rsidRPr="001A5811">
        <w:rPr>
          <w:i/>
          <w:sz w:val="28"/>
          <w:szCs w:val="28"/>
        </w:rPr>
        <w:t xml:space="preserve">Social Research </w:t>
      </w:r>
      <w:r w:rsidRPr="001A5811">
        <w:rPr>
          <w:sz w:val="28"/>
          <w:szCs w:val="28"/>
        </w:rPr>
        <w:t xml:space="preserve">13, </w:t>
      </w:r>
      <w:r>
        <w:rPr>
          <w:sz w:val="28"/>
          <w:szCs w:val="28"/>
        </w:rPr>
        <w:t>n</w:t>
      </w:r>
      <w:r w:rsidRPr="001A5811">
        <w:rPr>
          <w:sz w:val="28"/>
          <w:szCs w:val="28"/>
        </w:rPr>
        <w:t>o.4 (Dec 1946)</w:t>
      </w:r>
      <w:r>
        <w:rPr>
          <w:sz w:val="28"/>
          <w:szCs w:val="28"/>
        </w:rPr>
        <w:t>:</w:t>
      </w:r>
      <w:r w:rsidRPr="001A5811">
        <w:rPr>
          <w:sz w:val="28"/>
          <w:szCs w:val="28"/>
        </w:rPr>
        <w:t xml:space="preserve"> 399-409</w:t>
      </w:r>
      <w:r>
        <w:rPr>
          <w:sz w:val="28"/>
          <w:szCs w:val="28"/>
        </w:rPr>
        <w:t>.</w:t>
      </w:r>
    </w:p>
    <w:p w14:paraId="5A005A96" w14:textId="77777777" w:rsidR="00A97A17" w:rsidRDefault="00A97A17" w:rsidP="00A97A17">
      <w:pPr>
        <w:rPr>
          <w:sz w:val="28"/>
          <w:szCs w:val="28"/>
        </w:rPr>
      </w:pPr>
    </w:p>
    <w:p w14:paraId="5AA00428" w14:textId="77777777" w:rsidR="00A97A17" w:rsidRDefault="00A97A17" w:rsidP="00A97A17">
      <w:pPr>
        <w:rPr>
          <w:sz w:val="28"/>
          <w:szCs w:val="28"/>
        </w:rPr>
      </w:pPr>
      <w:r w:rsidRPr="002430EB">
        <w:rPr>
          <w:sz w:val="28"/>
          <w:szCs w:val="28"/>
        </w:rPr>
        <w:t>Shwadran, Benjamin</w:t>
      </w:r>
      <w:r>
        <w:rPr>
          <w:sz w:val="28"/>
          <w:szCs w:val="28"/>
        </w:rPr>
        <w:t>.</w:t>
      </w:r>
      <w:r w:rsidRPr="002430EB">
        <w:rPr>
          <w:sz w:val="28"/>
          <w:szCs w:val="28"/>
        </w:rPr>
        <w:t xml:space="preserve"> “Jerusalem Again</w:t>
      </w:r>
      <w:r>
        <w:rPr>
          <w:sz w:val="28"/>
          <w:szCs w:val="28"/>
        </w:rPr>
        <w:t>.</w:t>
      </w:r>
      <w:r w:rsidRPr="002430EB">
        <w:rPr>
          <w:sz w:val="28"/>
          <w:szCs w:val="28"/>
        </w:rPr>
        <w:t>”</w:t>
      </w:r>
      <w:r w:rsidRPr="002430EB">
        <w:rPr>
          <w:i/>
          <w:sz w:val="28"/>
          <w:szCs w:val="28"/>
        </w:rPr>
        <w:t xml:space="preserve"> Middle Eastern Affairs, </w:t>
      </w:r>
      <w:r>
        <w:rPr>
          <w:sz w:val="28"/>
          <w:szCs w:val="28"/>
        </w:rPr>
        <w:t>(</w:t>
      </w:r>
      <w:r w:rsidRPr="002430EB">
        <w:rPr>
          <w:sz w:val="28"/>
          <w:szCs w:val="28"/>
        </w:rPr>
        <w:t>Dec, 1950</w:t>
      </w:r>
      <w:r>
        <w:rPr>
          <w:sz w:val="28"/>
          <w:szCs w:val="28"/>
        </w:rPr>
        <w:t>):</w:t>
      </w:r>
      <w:r w:rsidRPr="002430EB">
        <w:rPr>
          <w:sz w:val="28"/>
          <w:szCs w:val="28"/>
        </w:rPr>
        <w:t xml:space="preserve"> 357-364</w:t>
      </w:r>
      <w:r>
        <w:rPr>
          <w:sz w:val="28"/>
          <w:szCs w:val="28"/>
        </w:rPr>
        <w:t>.</w:t>
      </w:r>
    </w:p>
    <w:p w14:paraId="47CC604D" w14:textId="77777777" w:rsidR="00A97A17" w:rsidRDefault="00A97A17" w:rsidP="00A97A17">
      <w:pPr>
        <w:rPr>
          <w:sz w:val="28"/>
          <w:szCs w:val="28"/>
        </w:rPr>
      </w:pPr>
    </w:p>
    <w:p w14:paraId="069747C9" w14:textId="77777777" w:rsidR="00A97A17" w:rsidRDefault="00A97A17" w:rsidP="00A97A17">
      <w:pPr>
        <w:rPr>
          <w:sz w:val="28"/>
          <w:szCs w:val="28"/>
        </w:rPr>
      </w:pPr>
      <w:r w:rsidRPr="00B95E5D">
        <w:rPr>
          <w:sz w:val="28"/>
          <w:szCs w:val="28"/>
        </w:rPr>
        <w:t>Slonim, Shlomo</w:t>
      </w:r>
      <w:r>
        <w:rPr>
          <w:sz w:val="28"/>
          <w:szCs w:val="28"/>
        </w:rPr>
        <w:t>.</w:t>
      </w:r>
      <w:r w:rsidRPr="00B95E5D">
        <w:rPr>
          <w:sz w:val="28"/>
          <w:szCs w:val="28"/>
        </w:rPr>
        <w:t xml:space="preserve"> “Israeli Policy on Jerusalem at the United Nations, 1948</w:t>
      </w:r>
      <w:r>
        <w:rPr>
          <w:sz w:val="28"/>
          <w:szCs w:val="28"/>
        </w:rPr>
        <w:t>.</w:t>
      </w:r>
      <w:r w:rsidRPr="00B95E5D">
        <w:rPr>
          <w:sz w:val="28"/>
          <w:szCs w:val="28"/>
        </w:rPr>
        <w:t xml:space="preserve">” </w:t>
      </w:r>
      <w:r w:rsidRPr="00B95E5D">
        <w:rPr>
          <w:i/>
          <w:sz w:val="28"/>
          <w:szCs w:val="28"/>
        </w:rPr>
        <w:t>Middle Eastern Studies</w:t>
      </w:r>
      <w:r w:rsidRPr="00B95E5D">
        <w:rPr>
          <w:sz w:val="28"/>
          <w:szCs w:val="28"/>
        </w:rPr>
        <w:t xml:space="preserve"> 30, </w:t>
      </w:r>
      <w:r>
        <w:rPr>
          <w:sz w:val="28"/>
          <w:szCs w:val="28"/>
        </w:rPr>
        <w:t>n</w:t>
      </w:r>
      <w:r w:rsidRPr="00B95E5D">
        <w:rPr>
          <w:sz w:val="28"/>
          <w:szCs w:val="28"/>
        </w:rPr>
        <w:t>o. 3 (Jul., 1994)</w:t>
      </w:r>
      <w:r>
        <w:rPr>
          <w:sz w:val="28"/>
          <w:szCs w:val="28"/>
        </w:rPr>
        <w:t>:</w:t>
      </w:r>
      <w:r w:rsidRPr="00B95E5D">
        <w:rPr>
          <w:sz w:val="28"/>
          <w:szCs w:val="28"/>
        </w:rPr>
        <w:t xml:space="preserve"> 579-596</w:t>
      </w:r>
      <w:r>
        <w:rPr>
          <w:sz w:val="28"/>
          <w:szCs w:val="28"/>
        </w:rPr>
        <w:t>.</w:t>
      </w:r>
      <w:r w:rsidRPr="00B95E5D">
        <w:rPr>
          <w:sz w:val="28"/>
          <w:szCs w:val="28"/>
        </w:rPr>
        <w:t xml:space="preserve">   </w:t>
      </w:r>
    </w:p>
    <w:p w14:paraId="74A9AD61" w14:textId="77777777" w:rsidR="00A97A17" w:rsidRDefault="00A97A17" w:rsidP="00A97A17">
      <w:pPr>
        <w:rPr>
          <w:sz w:val="28"/>
          <w:szCs w:val="28"/>
        </w:rPr>
      </w:pPr>
    </w:p>
    <w:p w14:paraId="2C6D4765" w14:textId="77777777" w:rsidR="00A97A17" w:rsidRDefault="00A97A17" w:rsidP="00A97A17">
      <w:pPr>
        <w:rPr>
          <w:sz w:val="28"/>
          <w:szCs w:val="28"/>
        </w:rPr>
      </w:pPr>
      <w:hyperlink r:id="rId4" w:history="1">
        <w:r w:rsidRPr="006E3655">
          <w:rPr>
            <w:rStyle w:val="Hyperlink"/>
            <w:sz w:val="28"/>
            <w:szCs w:val="28"/>
          </w:rPr>
          <w:t xml:space="preserve">Special Committee on Palestine : verbatim record of the 29th meeting (public), held at the Y.M.C.A. Building, Jerusalem, Palestine, Sunday, 13 July 19[...] </w:t>
        </w:r>
      </w:hyperlink>
    </w:p>
    <w:p w14:paraId="7758A98E" w14:textId="77777777" w:rsidR="00A97A17" w:rsidRDefault="00A97A17" w:rsidP="00A97A17">
      <w:pPr>
        <w:rPr>
          <w:sz w:val="28"/>
          <w:szCs w:val="28"/>
        </w:rPr>
      </w:pPr>
    </w:p>
    <w:p w14:paraId="1F6DB1D0" w14:textId="77777777" w:rsidR="00A97A17" w:rsidRDefault="00A97A17" w:rsidP="00A97A17">
      <w:pPr>
        <w:rPr>
          <w:sz w:val="28"/>
          <w:szCs w:val="28"/>
        </w:rPr>
      </w:pPr>
      <w:hyperlink r:id="rId5" w:history="1">
        <w:r w:rsidRPr="003A7A89">
          <w:rPr>
            <w:rStyle w:val="Hyperlink"/>
            <w:sz w:val="28"/>
            <w:szCs w:val="28"/>
          </w:rPr>
          <w:t>“The Status of J</w:t>
        </w:r>
        <w:r>
          <w:rPr>
            <w:rStyle w:val="Hyperlink"/>
            <w:sz w:val="28"/>
            <w:szCs w:val="28"/>
          </w:rPr>
          <w:t>erusa</w:t>
        </w:r>
        <w:r w:rsidRPr="003A7A89">
          <w:rPr>
            <w:rStyle w:val="Hyperlink"/>
            <w:sz w:val="28"/>
            <w:szCs w:val="28"/>
          </w:rPr>
          <w:t>l</w:t>
        </w:r>
        <w:r>
          <w:rPr>
            <w:rStyle w:val="Hyperlink"/>
            <w:sz w:val="28"/>
            <w:szCs w:val="28"/>
          </w:rPr>
          <w:t>e</w:t>
        </w:r>
        <w:r w:rsidRPr="003A7A89">
          <w:rPr>
            <w:rStyle w:val="Hyperlink"/>
            <w:sz w:val="28"/>
            <w:szCs w:val="28"/>
          </w:rPr>
          <w:t>m” United Nations, New York, 1997</w:t>
        </w:r>
      </w:hyperlink>
    </w:p>
    <w:p w14:paraId="4E4B2A8A" w14:textId="77777777" w:rsidR="00A97A17" w:rsidRDefault="00A97A17" w:rsidP="00A97A17">
      <w:pPr>
        <w:rPr>
          <w:sz w:val="28"/>
          <w:szCs w:val="28"/>
        </w:rPr>
      </w:pPr>
    </w:p>
    <w:p w14:paraId="34ABCFE4" w14:textId="77777777" w:rsidR="00A97A17" w:rsidRDefault="00A97A17" w:rsidP="00A97A17">
      <w:pPr>
        <w:rPr>
          <w:rStyle w:val="Hyperlink"/>
          <w:sz w:val="28"/>
          <w:szCs w:val="28"/>
        </w:rPr>
      </w:pPr>
      <w:r>
        <w:t>“</w:t>
      </w:r>
      <w:hyperlink r:id="rId6" w:history="1">
        <w:r w:rsidRPr="00462C8A">
          <w:rPr>
            <w:rStyle w:val="Hyperlink"/>
            <w:sz w:val="28"/>
            <w:szCs w:val="28"/>
          </w:rPr>
          <w:t>Statute For the City of J</w:t>
        </w:r>
        <w:r>
          <w:rPr>
            <w:rStyle w:val="Hyperlink"/>
            <w:sz w:val="28"/>
            <w:szCs w:val="28"/>
          </w:rPr>
          <w:t>erusa</w:t>
        </w:r>
        <w:r w:rsidRPr="00462C8A">
          <w:rPr>
            <w:rStyle w:val="Hyperlink"/>
            <w:sz w:val="28"/>
            <w:szCs w:val="28"/>
          </w:rPr>
          <w:t>l</w:t>
        </w:r>
        <w:r>
          <w:rPr>
            <w:rStyle w:val="Hyperlink"/>
            <w:sz w:val="28"/>
            <w:szCs w:val="28"/>
          </w:rPr>
          <w:t>e</w:t>
        </w:r>
        <w:r w:rsidRPr="00462C8A">
          <w:rPr>
            <w:rStyle w:val="Hyperlink"/>
            <w:sz w:val="28"/>
            <w:szCs w:val="28"/>
          </w:rPr>
          <w:t>m</w:t>
        </w:r>
      </w:hyperlink>
      <w:r>
        <w:rPr>
          <w:rStyle w:val="Hyperlink"/>
          <w:sz w:val="28"/>
          <w:szCs w:val="28"/>
        </w:rPr>
        <w:t>”, T/592, 4 April 1950</w:t>
      </w:r>
    </w:p>
    <w:p w14:paraId="3E533CEA" w14:textId="77777777" w:rsidR="00A97A17" w:rsidRDefault="00A97A17" w:rsidP="00A97A17">
      <w:pPr>
        <w:rPr>
          <w:sz w:val="28"/>
          <w:szCs w:val="28"/>
        </w:rPr>
      </w:pPr>
    </w:p>
    <w:p w14:paraId="1A54A3BE" w14:textId="77777777" w:rsidR="00A97A17" w:rsidRDefault="00A97A17" w:rsidP="00A97A17">
      <w:pPr>
        <w:rPr>
          <w:i/>
          <w:sz w:val="28"/>
          <w:szCs w:val="28"/>
        </w:rPr>
      </w:pPr>
      <w:r>
        <w:rPr>
          <w:sz w:val="28"/>
          <w:szCs w:val="28"/>
        </w:rPr>
        <w:t xml:space="preserve">“Statute for the City of Jerusalem”, draft. T/118, rev 2, 21 April, 1948. Trusteeship Council, </w:t>
      </w:r>
      <w:r>
        <w:rPr>
          <w:i/>
          <w:sz w:val="28"/>
          <w:szCs w:val="28"/>
        </w:rPr>
        <w:t>Official Records, Second Session, Third Part, Annex.</w:t>
      </w:r>
    </w:p>
    <w:p w14:paraId="3C1A757C" w14:textId="77777777" w:rsidR="00A97A17" w:rsidRDefault="00A97A17" w:rsidP="00A97A17">
      <w:pPr>
        <w:rPr>
          <w:i/>
          <w:sz w:val="28"/>
          <w:szCs w:val="28"/>
        </w:rPr>
      </w:pPr>
    </w:p>
    <w:p w14:paraId="5E19D822" w14:textId="77777777" w:rsidR="00A97A17" w:rsidRPr="00A06A63" w:rsidRDefault="00A97A17" w:rsidP="00A97A17">
      <w:pPr>
        <w:rPr>
          <w:sz w:val="28"/>
          <w:szCs w:val="28"/>
        </w:rPr>
      </w:pPr>
      <w:r w:rsidRPr="00A06A63">
        <w:rPr>
          <w:sz w:val="28"/>
          <w:szCs w:val="28"/>
        </w:rPr>
        <w:t>Stevens,</w:t>
      </w:r>
      <w:r>
        <w:rPr>
          <w:sz w:val="28"/>
          <w:szCs w:val="28"/>
        </w:rPr>
        <w:t xml:space="preserve"> </w:t>
      </w:r>
      <w:r w:rsidRPr="00A06A63">
        <w:rPr>
          <w:sz w:val="28"/>
          <w:szCs w:val="28"/>
        </w:rPr>
        <w:t>Richard P. “The Vatican, the Catholic Church and Jerusalem”</w:t>
      </w:r>
      <w:r>
        <w:rPr>
          <w:sz w:val="28"/>
          <w:szCs w:val="28"/>
        </w:rPr>
        <w:t>.</w:t>
      </w:r>
      <w:r w:rsidRPr="00A06A63">
        <w:rPr>
          <w:sz w:val="28"/>
          <w:szCs w:val="28"/>
        </w:rPr>
        <w:t xml:space="preserve"> </w:t>
      </w:r>
      <w:r w:rsidRPr="00A06A63">
        <w:rPr>
          <w:i/>
          <w:sz w:val="28"/>
          <w:szCs w:val="28"/>
        </w:rPr>
        <w:t>Journal of Palestine Studies,</w:t>
      </w:r>
      <w:r w:rsidRPr="00A06A63">
        <w:rPr>
          <w:sz w:val="28"/>
          <w:szCs w:val="28"/>
        </w:rPr>
        <w:t xml:space="preserve"> 10, No. 3 (Spring, 1981)</w:t>
      </w:r>
      <w:r>
        <w:rPr>
          <w:sz w:val="28"/>
          <w:szCs w:val="28"/>
        </w:rPr>
        <w:t>:</w:t>
      </w:r>
      <w:r w:rsidRPr="00A06A63">
        <w:rPr>
          <w:sz w:val="28"/>
          <w:szCs w:val="28"/>
        </w:rPr>
        <w:t xml:space="preserve"> 100-110.</w:t>
      </w:r>
    </w:p>
    <w:p w14:paraId="20857223" w14:textId="77777777" w:rsidR="00A97A17" w:rsidRDefault="00A97A17" w:rsidP="00A97A17">
      <w:pPr>
        <w:rPr>
          <w:i/>
          <w:sz w:val="28"/>
          <w:szCs w:val="28"/>
        </w:rPr>
      </w:pPr>
    </w:p>
    <w:p w14:paraId="3A785DC4" w14:textId="77777777" w:rsidR="00A97A17" w:rsidRPr="00912691" w:rsidRDefault="00A97A17" w:rsidP="00A97A17">
      <w:pPr>
        <w:rPr>
          <w:sz w:val="28"/>
          <w:szCs w:val="28"/>
        </w:rPr>
      </w:pPr>
      <w:r w:rsidRPr="00912691">
        <w:rPr>
          <w:sz w:val="28"/>
          <w:szCs w:val="28"/>
        </w:rPr>
        <w:t>Stone, Julius</w:t>
      </w:r>
      <w:r>
        <w:rPr>
          <w:sz w:val="28"/>
          <w:szCs w:val="28"/>
        </w:rPr>
        <w:t>.</w:t>
      </w:r>
      <w:r w:rsidRPr="00912691">
        <w:rPr>
          <w:sz w:val="28"/>
          <w:szCs w:val="28"/>
        </w:rPr>
        <w:t xml:space="preserve"> </w:t>
      </w:r>
      <w:r w:rsidRPr="00912691">
        <w:rPr>
          <w:i/>
          <w:sz w:val="28"/>
          <w:szCs w:val="28"/>
        </w:rPr>
        <w:t>Israel and Palestine: Assault on the Law of Nations</w:t>
      </w:r>
      <w:r>
        <w:rPr>
          <w:i/>
          <w:sz w:val="28"/>
          <w:szCs w:val="28"/>
        </w:rPr>
        <w:t xml:space="preserve">. </w:t>
      </w:r>
      <w:r w:rsidRPr="00912691">
        <w:rPr>
          <w:sz w:val="28"/>
          <w:szCs w:val="28"/>
        </w:rPr>
        <w:t>Baltimore: Johns Hopkins University Press, 1981</w:t>
      </w:r>
      <w:r>
        <w:rPr>
          <w:sz w:val="28"/>
          <w:szCs w:val="28"/>
        </w:rPr>
        <w:t>.</w:t>
      </w:r>
    </w:p>
    <w:p w14:paraId="36B1F2C2" w14:textId="77777777" w:rsidR="00A97A17" w:rsidRDefault="00A97A17" w:rsidP="00A97A17">
      <w:pPr>
        <w:rPr>
          <w:i/>
          <w:sz w:val="28"/>
          <w:szCs w:val="28"/>
        </w:rPr>
      </w:pPr>
    </w:p>
    <w:p w14:paraId="63BACC0C" w14:textId="77777777" w:rsidR="00A97A17" w:rsidRPr="004E7E32" w:rsidRDefault="00A97A17" w:rsidP="00A97A17">
      <w:pPr>
        <w:rPr>
          <w:color w:val="000000" w:themeColor="text1"/>
          <w:sz w:val="28"/>
          <w:szCs w:val="28"/>
        </w:rPr>
      </w:pPr>
      <w:r w:rsidRPr="004E7E32">
        <w:rPr>
          <w:color w:val="000000" w:themeColor="text1"/>
          <w:sz w:val="28"/>
          <w:szCs w:val="28"/>
        </w:rPr>
        <w:t xml:space="preserve">“Supplementary Rules of Procedure for the Trusteeship Council When Concerned with the Affairs of the City of </w:t>
      </w:r>
      <w:r>
        <w:rPr>
          <w:color w:val="000000" w:themeColor="text1"/>
          <w:sz w:val="28"/>
          <w:szCs w:val="28"/>
        </w:rPr>
        <w:t>Jerusalem</w:t>
      </w:r>
      <w:r w:rsidRPr="004E7E32">
        <w:rPr>
          <w:color w:val="000000" w:themeColor="text1"/>
          <w:sz w:val="28"/>
          <w:szCs w:val="28"/>
        </w:rPr>
        <w:t>”, T/145, 8 March 1948.</w:t>
      </w:r>
    </w:p>
    <w:p w14:paraId="1032E4D2" w14:textId="77777777" w:rsidR="00A97A17" w:rsidRDefault="00A97A17" w:rsidP="00A97A17">
      <w:pPr>
        <w:rPr>
          <w:sz w:val="28"/>
          <w:szCs w:val="28"/>
        </w:rPr>
      </w:pPr>
    </w:p>
    <w:p w14:paraId="0B80F474" w14:textId="77777777" w:rsidR="00A97A17" w:rsidRDefault="00A97A17" w:rsidP="00A97A17">
      <w:pPr>
        <w:rPr>
          <w:sz w:val="28"/>
          <w:szCs w:val="28"/>
        </w:rPr>
      </w:pPr>
      <w:hyperlink r:id="rId7" w:history="1">
        <w:r w:rsidRPr="00D13C33">
          <w:rPr>
            <w:rStyle w:val="Hyperlink"/>
            <w:sz w:val="28"/>
            <w:szCs w:val="28"/>
          </w:rPr>
          <w:t>Trusteeship Council, Official Records, 2</w:t>
        </w:r>
        <w:r w:rsidRPr="00D13C33">
          <w:rPr>
            <w:rStyle w:val="Hyperlink"/>
            <w:sz w:val="28"/>
            <w:szCs w:val="28"/>
            <w:vertAlign w:val="superscript"/>
          </w:rPr>
          <w:t>nd</w:t>
        </w:r>
        <w:r w:rsidRPr="00D13C33">
          <w:rPr>
            <w:rStyle w:val="Hyperlink"/>
            <w:sz w:val="28"/>
            <w:szCs w:val="28"/>
          </w:rPr>
          <w:t xml:space="preserve"> Session, 1</w:t>
        </w:r>
        <w:r w:rsidRPr="00D13C33">
          <w:rPr>
            <w:rStyle w:val="Hyperlink"/>
            <w:sz w:val="28"/>
            <w:szCs w:val="28"/>
            <w:vertAlign w:val="superscript"/>
          </w:rPr>
          <w:t>st</w:t>
        </w:r>
        <w:r w:rsidRPr="00D13C33">
          <w:rPr>
            <w:rStyle w:val="Hyperlink"/>
            <w:sz w:val="28"/>
            <w:szCs w:val="28"/>
          </w:rPr>
          <w:t xml:space="preserve"> part</w:t>
        </w:r>
      </w:hyperlink>
    </w:p>
    <w:p w14:paraId="6D2EC767" w14:textId="77777777" w:rsidR="00A97A17" w:rsidRDefault="00A97A17" w:rsidP="00A97A17">
      <w:pPr>
        <w:rPr>
          <w:sz w:val="28"/>
          <w:szCs w:val="28"/>
        </w:rPr>
      </w:pPr>
    </w:p>
    <w:p w14:paraId="36A49C46" w14:textId="77777777" w:rsidR="00A97A17" w:rsidRDefault="00A97A17" w:rsidP="00A97A17">
      <w:pPr>
        <w:rPr>
          <w:sz w:val="28"/>
          <w:szCs w:val="28"/>
        </w:rPr>
      </w:pPr>
      <w:hyperlink r:id="rId8" w:history="1">
        <w:r w:rsidRPr="00D13C33">
          <w:rPr>
            <w:rStyle w:val="Hyperlink"/>
            <w:sz w:val="28"/>
            <w:szCs w:val="28"/>
          </w:rPr>
          <w:t>Trusteeship Council, Official Records, 2</w:t>
        </w:r>
        <w:r w:rsidRPr="00D13C33">
          <w:rPr>
            <w:rStyle w:val="Hyperlink"/>
            <w:sz w:val="28"/>
            <w:szCs w:val="28"/>
            <w:vertAlign w:val="superscript"/>
          </w:rPr>
          <w:t>nd</w:t>
        </w:r>
        <w:r w:rsidRPr="00D13C33">
          <w:rPr>
            <w:rStyle w:val="Hyperlink"/>
            <w:sz w:val="28"/>
            <w:szCs w:val="28"/>
          </w:rPr>
          <w:t xml:space="preserve"> Session, 2nd part</w:t>
        </w:r>
      </w:hyperlink>
    </w:p>
    <w:p w14:paraId="640C0BF5" w14:textId="77777777" w:rsidR="00A97A17" w:rsidRDefault="00A97A17" w:rsidP="00A97A17">
      <w:pPr>
        <w:rPr>
          <w:sz w:val="28"/>
          <w:szCs w:val="28"/>
        </w:rPr>
      </w:pPr>
    </w:p>
    <w:p w14:paraId="3D33B0BD" w14:textId="77777777" w:rsidR="00A97A17" w:rsidRDefault="00A97A17" w:rsidP="00A97A17">
      <w:pPr>
        <w:rPr>
          <w:rStyle w:val="Hyperlink"/>
          <w:sz w:val="28"/>
          <w:szCs w:val="28"/>
        </w:rPr>
      </w:pPr>
      <w:hyperlink r:id="rId9" w:history="1">
        <w:r w:rsidRPr="00B06031">
          <w:rPr>
            <w:rStyle w:val="Hyperlink"/>
            <w:sz w:val="28"/>
            <w:szCs w:val="28"/>
          </w:rPr>
          <w:t>UNGA Res 181 (II)</w:t>
        </w:r>
      </w:hyperlink>
    </w:p>
    <w:p w14:paraId="03100A5F" w14:textId="77777777" w:rsidR="00A97A17" w:rsidRDefault="00A97A17" w:rsidP="00A97A17">
      <w:pPr>
        <w:rPr>
          <w:sz w:val="28"/>
          <w:szCs w:val="28"/>
        </w:rPr>
      </w:pPr>
    </w:p>
    <w:p w14:paraId="196A8B79" w14:textId="77777777" w:rsidR="00A97A17" w:rsidRDefault="00A97A17" w:rsidP="00A97A17">
      <w:pPr>
        <w:rPr>
          <w:sz w:val="28"/>
          <w:szCs w:val="28"/>
        </w:rPr>
      </w:pPr>
      <w:r w:rsidRPr="00C65DBB">
        <w:rPr>
          <w:sz w:val="28"/>
          <w:szCs w:val="28"/>
        </w:rPr>
        <w:t>Urquhart, Brian</w:t>
      </w:r>
      <w:r>
        <w:rPr>
          <w:sz w:val="28"/>
          <w:szCs w:val="28"/>
        </w:rPr>
        <w:t>.</w:t>
      </w:r>
      <w:r w:rsidRPr="00C65DBB">
        <w:rPr>
          <w:sz w:val="28"/>
          <w:szCs w:val="28"/>
        </w:rPr>
        <w:t xml:space="preserve"> </w:t>
      </w:r>
      <w:r w:rsidRPr="00C65DBB">
        <w:rPr>
          <w:i/>
          <w:sz w:val="28"/>
          <w:szCs w:val="28"/>
        </w:rPr>
        <w:t>Ralph Bunche, An American Life</w:t>
      </w:r>
      <w:r>
        <w:rPr>
          <w:i/>
          <w:sz w:val="28"/>
          <w:szCs w:val="28"/>
        </w:rPr>
        <w:t>.</w:t>
      </w:r>
      <w:r w:rsidRPr="00C65DBB">
        <w:rPr>
          <w:i/>
          <w:sz w:val="28"/>
          <w:szCs w:val="28"/>
        </w:rPr>
        <w:t xml:space="preserve"> </w:t>
      </w:r>
      <w:r w:rsidRPr="00C65DBB">
        <w:rPr>
          <w:sz w:val="28"/>
          <w:szCs w:val="28"/>
        </w:rPr>
        <w:t>New York, New York: W.W. Norton &amp; Co., 1993</w:t>
      </w:r>
      <w:r>
        <w:rPr>
          <w:sz w:val="28"/>
          <w:szCs w:val="28"/>
        </w:rPr>
        <w:t>.</w:t>
      </w:r>
    </w:p>
    <w:p w14:paraId="277553D6" w14:textId="77777777" w:rsidR="00A97A17" w:rsidRDefault="00A97A17" w:rsidP="00A97A17">
      <w:pPr>
        <w:rPr>
          <w:sz w:val="28"/>
          <w:szCs w:val="28"/>
        </w:rPr>
      </w:pPr>
    </w:p>
    <w:p w14:paraId="5B1E1008" w14:textId="77777777" w:rsidR="00A97A17" w:rsidRDefault="00A97A17" w:rsidP="00A97A17">
      <w:pPr>
        <w:rPr>
          <w:sz w:val="28"/>
          <w:szCs w:val="28"/>
        </w:rPr>
      </w:pPr>
      <w:r w:rsidRPr="001F0671">
        <w:rPr>
          <w:sz w:val="28"/>
          <w:szCs w:val="28"/>
        </w:rPr>
        <w:t>Waelder, Robert</w:t>
      </w:r>
      <w:r>
        <w:rPr>
          <w:sz w:val="28"/>
          <w:szCs w:val="28"/>
        </w:rPr>
        <w:t>.</w:t>
      </w:r>
      <w:r w:rsidRPr="001F0671">
        <w:rPr>
          <w:sz w:val="28"/>
          <w:szCs w:val="28"/>
        </w:rPr>
        <w:t xml:space="preserve"> “Psychological Aspects of War and Peace: and Outline of Some of the Problems with Suggestions Regarding Further Research</w:t>
      </w:r>
      <w:r>
        <w:rPr>
          <w:sz w:val="28"/>
          <w:szCs w:val="28"/>
        </w:rPr>
        <w:t>.</w:t>
      </w:r>
      <w:r w:rsidRPr="001F0671">
        <w:rPr>
          <w:sz w:val="28"/>
          <w:szCs w:val="28"/>
        </w:rPr>
        <w:t xml:space="preserve">” </w:t>
      </w:r>
      <w:r w:rsidRPr="001F0671">
        <w:rPr>
          <w:i/>
          <w:sz w:val="28"/>
          <w:szCs w:val="28"/>
        </w:rPr>
        <w:t xml:space="preserve">Geneva Studies X, </w:t>
      </w:r>
      <w:r w:rsidRPr="001F0671">
        <w:rPr>
          <w:sz w:val="28"/>
          <w:szCs w:val="28"/>
        </w:rPr>
        <w:t>no 2, May, 1939.</w:t>
      </w:r>
    </w:p>
    <w:p w14:paraId="2B59F433" w14:textId="77777777" w:rsidR="00A97A17" w:rsidRDefault="00A97A17" w:rsidP="00A97A17">
      <w:pPr>
        <w:rPr>
          <w:sz w:val="28"/>
          <w:szCs w:val="28"/>
        </w:rPr>
      </w:pPr>
    </w:p>
    <w:p w14:paraId="34FA1495" w14:textId="77777777" w:rsidR="00A97A17" w:rsidRPr="001F0671" w:rsidRDefault="00A97A17" w:rsidP="00A97A17">
      <w:pPr>
        <w:rPr>
          <w:sz w:val="28"/>
          <w:szCs w:val="28"/>
        </w:rPr>
      </w:pPr>
      <w:r w:rsidRPr="001F0671">
        <w:rPr>
          <w:sz w:val="28"/>
          <w:szCs w:val="28"/>
        </w:rPr>
        <w:t>Waelder, Robert</w:t>
      </w:r>
      <w:r>
        <w:rPr>
          <w:sz w:val="28"/>
          <w:szCs w:val="28"/>
        </w:rPr>
        <w:t>.</w:t>
      </w:r>
      <w:r w:rsidRPr="001F0671">
        <w:rPr>
          <w:sz w:val="28"/>
          <w:szCs w:val="28"/>
        </w:rPr>
        <w:t xml:space="preserve"> </w:t>
      </w:r>
      <w:r>
        <w:rPr>
          <w:sz w:val="28"/>
          <w:szCs w:val="28"/>
        </w:rPr>
        <w:t xml:space="preserve">“Etiology and Course of Mass Psychoses.” </w:t>
      </w:r>
      <w:r w:rsidRPr="001F0671">
        <w:rPr>
          <w:i/>
          <w:sz w:val="28"/>
          <w:szCs w:val="28"/>
        </w:rPr>
        <w:t>The Psychoanalytic</w:t>
      </w:r>
      <w:r w:rsidRPr="001F0671">
        <w:rPr>
          <w:sz w:val="28"/>
          <w:szCs w:val="28"/>
        </w:rPr>
        <w:t xml:space="preserve"> </w:t>
      </w:r>
      <w:r w:rsidRPr="001F0671">
        <w:rPr>
          <w:i/>
          <w:sz w:val="28"/>
          <w:szCs w:val="28"/>
        </w:rPr>
        <w:t>Review</w:t>
      </w:r>
      <w:r w:rsidRPr="001F0671">
        <w:rPr>
          <w:sz w:val="28"/>
          <w:szCs w:val="28"/>
        </w:rPr>
        <w:t xml:space="preserve"> Jan 1, 1939; 26</w:t>
      </w:r>
      <w:r>
        <w:rPr>
          <w:sz w:val="28"/>
          <w:szCs w:val="28"/>
        </w:rPr>
        <w:t xml:space="preserve">: </w:t>
      </w:r>
      <w:r w:rsidRPr="001F0671">
        <w:rPr>
          <w:sz w:val="28"/>
          <w:szCs w:val="28"/>
        </w:rPr>
        <w:t>400</w:t>
      </w:r>
      <w:r>
        <w:rPr>
          <w:sz w:val="28"/>
          <w:szCs w:val="28"/>
        </w:rPr>
        <w:t>-402.</w:t>
      </w:r>
    </w:p>
    <w:p w14:paraId="78F4599D" w14:textId="77777777" w:rsidR="00A97A17" w:rsidRDefault="00A97A17" w:rsidP="00A97A17">
      <w:pPr>
        <w:rPr>
          <w:i/>
          <w:sz w:val="28"/>
          <w:szCs w:val="28"/>
        </w:rPr>
      </w:pPr>
    </w:p>
    <w:p w14:paraId="511ED2CC" w14:textId="77777777" w:rsidR="00A97A17" w:rsidRPr="00E10318" w:rsidRDefault="00A97A17" w:rsidP="00A97A17">
      <w:pPr>
        <w:rPr>
          <w:sz w:val="28"/>
          <w:szCs w:val="28"/>
        </w:rPr>
      </w:pPr>
      <w:r w:rsidRPr="00E10318">
        <w:rPr>
          <w:sz w:val="28"/>
          <w:szCs w:val="28"/>
        </w:rPr>
        <w:t xml:space="preserve">Walters, F. P. </w:t>
      </w:r>
      <w:r w:rsidRPr="00E10318">
        <w:rPr>
          <w:i/>
          <w:sz w:val="28"/>
          <w:szCs w:val="28"/>
        </w:rPr>
        <w:t>A History of the League of Nations</w:t>
      </w:r>
      <w:r>
        <w:rPr>
          <w:i/>
          <w:sz w:val="28"/>
          <w:szCs w:val="28"/>
        </w:rPr>
        <w:t>.</w:t>
      </w:r>
      <w:r w:rsidRPr="00E10318">
        <w:rPr>
          <w:i/>
          <w:sz w:val="28"/>
          <w:szCs w:val="28"/>
        </w:rPr>
        <w:t xml:space="preserve"> </w:t>
      </w:r>
      <w:r w:rsidRPr="00E10318">
        <w:rPr>
          <w:sz w:val="28"/>
          <w:szCs w:val="28"/>
        </w:rPr>
        <w:t>London: Oxford University Press, 1952</w:t>
      </w:r>
      <w:r>
        <w:rPr>
          <w:sz w:val="28"/>
          <w:szCs w:val="28"/>
        </w:rPr>
        <w:t>.</w:t>
      </w:r>
    </w:p>
    <w:p w14:paraId="2689B234" w14:textId="77777777" w:rsidR="00A97A17" w:rsidRDefault="00A97A17" w:rsidP="00A97A17">
      <w:pPr>
        <w:rPr>
          <w:sz w:val="28"/>
          <w:szCs w:val="28"/>
        </w:rPr>
      </w:pPr>
    </w:p>
    <w:p w14:paraId="0B86436B" w14:textId="77777777" w:rsidR="00A97A17" w:rsidRDefault="00A97A17" w:rsidP="00A97A17">
      <w:pPr>
        <w:rPr>
          <w:sz w:val="28"/>
          <w:szCs w:val="28"/>
        </w:rPr>
      </w:pPr>
      <w:r w:rsidRPr="00B6029C">
        <w:rPr>
          <w:sz w:val="28"/>
          <w:szCs w:val="28"/>
        </w:rPr>
        <w:t>Wambaugh,</w:t>
      </w:r>
      <w:r>
        <w:rPr>
          <w:sz w:val="28"/>
          <w:szCs w:val="28"/>
        </w:rPr>
        <w:t xml:space="preserve"> </w:t>
      </w:r>
      <w:r w:rsidRPr="00B6029C">
        <w:rPr>
          <w:sz w:val="28"/>
          <w:szCs w:val="28"/>
        </w:rPr>
        <w:t>Sarah</w:t>
      </w:r>
      <w:r>
        <w:rPr>
          <w:sz w:val="28"/>
          <w:szCs w:val="28"/>
        </w:rPr>
        <w:t>.</w:t>
      </w:r>
      <w:r w:rsidRPr="00B6029C">
        <w:rPr>
          <w:sz w:val="28"/>
          <w:szCs w:val="28"/>
        </w:rPr>
        <w:t xml:space="preserve"> “International Administration of the SAAR Territory: 1920-1935</w:t>
      </w:r>
      <w:r>
        <w:rPr>
          <w:sz w:val="28"/>
          <w:szCs w:val="28"/>
        </w:rPr>
        <w:t>.</w:t>
      </w:r>
      <w:r w:rsidRPr="00B6029C">
        <w:rPr>
          <w:sz w:val="28"/>
          <w:szCs w:val="28"/>
        </w:rPr>
        <w:t xml:space="preserve">”  </w:t>
      </w:r>
      <w:r w:rsidRPr="00380820">
        <w:rPr>
          <w:i/>
          <w:sz w:val="28"/>
          <w:szCs w:val="28"/>
        </w:rPr>
        <w:t>Iowa Law Review</w:t>
      </w:r>
      <w:r>
        <w:rPr>
          <w:i/>
          <w:sz w:val="28"/>
          <w:szCs w:val="28"/>
        </w:rPr>
        <w:t xml:space="preserve"> </w:t>
      </w:r>
      <w:r>
        <w:rPr>
          <w:sz w:val="28"/>
          <w:szCs w:val="28"/>
        </w:rPr>
        <w:t>30,</w:t>
      </w:r>
      <w:r w:rsidRPr="00B6029C">
        <w:rPr>
          <w:sz w:val="28"/>
          <w:szCs w:val="28"/>
        </w:rPr>
        <w:t xml:space="preserve"> (1945)</w:t>
      </w:r>
      <w:r>
        <w:rPr>
          <w:sz w:val="28"/>
          <w:szCs w:val="28"/>
        </w:rPr>
        <w:t>: 539-543</w:t>
      </w:r>
      <w:r w:rsidRPr="00B6029C">
        <w:rPr>
          <w:sz w:val="28"/>
          <w:szCs w:val="28"/>
        </w:rPr>
        <w:t>.</w:t>
      </w:r>
    </w:p>
    <w:p w14:paraId="38D52122" w14:textId="77777777" w:rsidR="00A97A17" w:rsidRDefault="00A97A17" w:rsidP="00A97A17">
      <w:pPr>
        <w:rPr>
          <w:sz w:val="28"/>
          <w:szCs w:val="28"/>
        </w:rPr>
      </w:pPr>
    </w:p>
    <w:p w14:paraId="6364F735" w14:textId="77777777" w:rsidR="00A97A17" w:rsidRDefault="00A97A17" w:rsidP="00A97A17">
      <w:pPr>
        <w:rPr>
          <w:sz w:val="28"/>
          <w:szCs w:val="28"/>
        </w:rPr>
      </w:pPr>
      <w:r w:rsidRPr="00E93ACB">
        <w:rPr>
          <w:sz w:val="28"/>
          <w:szCs w:val="28"/>
        </w:rPr>
        <w:t>Wambaugh,</w:t>
      </w:r>
      <w:r>
        <w:rPr>
          <w:sz w:val="28"/>
          <w:szCs w:val="28"/>
        </w:rPr>
        <w:t xml:space="preserve"> </w:t>
      </w:r>
      <w:r w:rsidRPr="00E93ACB">
        <w:rPr>
          <w:sz w:val="28"/>
          <w:szCs w:val="28"/>
        </w:rPr>
        <w:t>Sarah</w:t>
      </w:r>
      <w:r>
        <w:rPr>
          <w:sz w:val="28"/>
          <w:szCs w:val="28"/>
        </w:rPr>
        <w:t>.</w:t>
      </w:r>
      <w:r w:rsidRPr="00E93ACB">
        <w:rPr>
          <w:sz w:val="28"/>
          <w:szCs w:val="28"/>
        </w:rPr>
        <w:t xml:space="preserve"> “New Tools for Peaceful Settlement</w:t>
      </w:r>
      <w:r>
        <w:rPr>
          <w:sz w:val="28"/>
          <w:szCs w:val="28"/>
        </w:rPr>
        <w:t>.</w:t>
      </w:r>
      <w:r w:rsidRPr="00E93ACB">
        <w:rPr>
          <w:sz w:val="28"/>
          <w:szCs w:val="28"/>
        </w:rPr>
        <w:t xml:space="preserve">” </w:t>
      </w:r>
      <w:r w:rsidRPr="00E93ACB">
        <w:rPr>
          <w:i/>
          <w:sz w:val="28"/>
          <w:szCs w:val="28"/>
        </w:rPr>
        <w:t>The Annals of the American Academy of Political and Social Scienc</w:t>
      </w:r>
      <w:r>
        <w:rPr>
          <w:i/>
          <w:sz w:val="28"/>
          <w:szCs w:val="28"/>
        </w:rPr>
        <w:t>e</w:t>
      </w:r>
      <w:r w:rsidRPr="00E93ACB">
        <w:rPr>
          <w:sz w:val="28"/>
          <w:szCs w:val="28"/>
        </w:rPr>
        <w:t xml:space="preserve"> 240, Our Muddled</w:t>
      </w:r>
      <w:r>
        <w:rPr>
          <w:sz w:val="28"/>
          <w:szCs w:val="28"/>
        </w:rPr>
        <w:t xml:space="preserve"> </w:t>
      </w:r>
      <w:r w:rsidRPr="00E93ACB">
        <w:rPr>
          <w:sz w:val="28"/>
          <w:szCs w:val="28"/>
        </w:rPr>
        <w:t>World (Jul</w:t>
      </w:r>
      <w:r>
        <w:rPr>
          <w:sz w:val="28"/>
          <w:szCs w:val="28"/>
        </w:rPr>
        <w:t>y</w:t>
      </w:r>
      <w:r w:rsidRPr="00E93ACB">
        <w:rPr>
          <w:sz w:val="28"/>
          <w:szCs w:val="28"/>
        </w:rPr>
        <w:t>, 1945</w:t>
      </w:r>
      <w:r>
        <w:rPr>
          <w:sz w:val="28"/>
          <w:szCs w:val="28"/>
        </w:rPr>
        <w:t>): 1-6.</w:t>
      </w:r>
    </w:p>
    <w:p w14:paraId="336C8EA3" w14:textId="77777777" w:rsidR="00A97A17" w:rsidRDefault="00A97A17" w:rsidP="00A97A17">
      <w:pPr>
        <w:rPr>
          <w:sz w:val="28"/>
          <w:szCs w:val="28"/>
        </w:rPr>
      </w:pPr>
    </w:p>
    <w:p w14:paraId="66A8C9A5" w14:textId="77777777" w:rsidR="00A97A17" w:rsidRDefault="00A97A17" w:rsidP="00A97A17">
      <w:pPr>
        <w:rPr>
          <w:sz w:val="28"/>
          <w:szCs w:val="28"/>
        </w:rPr>
      </w:pPr>
      <w:r w:rsidRPr="009A3A0E">
        <w:rPr>
          <w:sz w:val="28"/>
          <w:szCs w:val="28"/>
        </w:rPr>
        <w:t>Williams, Sir John Fischer</w:t>
      </w:r>
      <w:r>
        <w:rPr>
          <w:sz w:val="28"/>
          <w:szCs w:val="28"/>
        </w:rPr>
        <w:t>.</w:t>
      </w:r>
      <w:r w:rsidRPr="009A3A0E">
        <w:rPr>
          <w:sz w:val="28"/>
          <w:szCs w:val="28"/>
        </w:rPr>
        <w:t xml:space="preserve"> </w:t>
      </w:r>
      <w:r w:rsidRPr="009A3A0E">
        <w:rPr>
          <w:i/>
          <w:sz w:val="28"/>
          <w:szCs w:val="28"/>
        </w:rPr>
        <w:t>Chapters on Current International Law and the League of Nations</w:t>
      </w:r>
      <w:r>
        <w:rPr>
          <w:i/>
          <w:sz w:val="28"/>
          <w:szCs w:val="28"/>
        </w:rPr>
        <w:t>.</w:t>
      </w:r>
      <w:r w:rsidRPr="009A3A0E">
        <w:rPr>
          <w:i/>
          <w:sz w:val="28"/>
          <w:szCs w:val="28"/>
        </w:rPr>
        <w:t xml:space="preserve"> </w:t>
      </w:r>
      <w:r w:rsidRPr="009A3A0E">
        <w:rPr>
          <w:sz w:val="28"/>
          <w:szCs w:val="28"/>
        </w:rPr>
        <w:t>London: Longmans, Green and Co, 1929</w:t>
      </w:r>
      <w:r>
        <w:rPr>
          <w:sz w:val="28"/>
          <w:szCs w:val="28"/>
        </w:rPr>
        <w:t>.</w:t>
      </w:r>
    </w:p>
    <w:p w14:paraId="744CB540" w14:textId="77777777" w:rsidR="00A97A17" w:rsidRDefault="00A97A17" w:rsidP="00A97A17">
      <w:pPr>
        <w:rPr>
          <w:sz w:val="28"/>
          <w:szCs w:val="28"/>
        </w:rPr>
      </w:pPr>
    </w:p>
    <w:p w14:paraId="3DD2512F" w14:textId="77777777" w:rsidR="00A97A17" w:rsidRDefault="00A97A17" w:rsidP="00A97A17">
      <w:pPr>
        <w:rPr>
          <w:sz w:val="28"/>
          <w:szCs w:val="28"/>
        </w:rPr>
      </w:pPr>
      <w:r w:rsidRPr="006E28D6">
        <w:rPr>
          <w:sz w:val="28"/>
          <w:szCs w:val="28"/>
        </w:rPr>
        <w:t>Wright, Quincy. "The Palestine Problem." </w:t>
      </w:r>
      <w:r w:rsidRPr="006E28D6">
        <w:rPr>
          <w:i/>
          <w:iCs/>
          <w:sz w:val="28"/>
          <w:szCs w:val="28"/>
        </w:rPr>
        <w:t>Political Science Quarterly</w:t>
      </w:r>
      <w:r w:rsidRPr="006E28D6">
        <w:rPr>
          <w:sz w:val="28"/>
          <w:szCs w:val="28"/>
        </w:rPr>
        <w:t> 41, no. 3 (1926): 384-412.</w:t>
      </w:r>
    </w:p>
    <w:p w14:paraId="48815882" w14:textId="77777777" w:rsidR="00A97A17" w:rsidRDefault="00A97A17" w:rsidP="00A97A17">
      <w:pPr>
        <w:rPr>
          <w:sz w:val="28"/>
          <w:szCs w:val="28"/>
        </w:rPr>
      </w:pPr>
    </w:p>
    <w:p w14:paraId="252D444D" w14:textId="77777777" w:rsidR="00A97A17" w:rsidRPr="00495DD6" w:rsidRDefault="00A97A17" w:rsidP="00A97A17">
      <w:pPr>
        <w:rPr>
          <w:sz w:val="28"/>
          <w:szCs w:val="28"/>
        </w:rPr>
      </w:pPr>
      <w:r w:rsidRPr="00495DD6">
        <w:rPr>
          <w:sz w:val="28"/>
          <w:szCs w:val="28"/>
        </w:rPr>
        <w:t xml:space="preserve">Wright, </w:t>
      </w:r>
      <w:r>
        <w:rPr>
          <w:sz w:val="28"/>
          <w:szCs w:val="28"/>
        </w:rPr>
        <w:t>Q</w:t>
      </w:r>
      <w:r w:rsidRPr="00495DD6">
        <w:rPr>
          <w:sz w:val="28"/>
          <w:szCs w:val="28"/>
        </w:rPr>
        <w:t>uincy</w:t>
      </w:r>
      <w:r>
        <w:rPr>
          <w:sz w:val="28"/>
          <w:szCs w:val="28"/>
        </w:rPr>
        <w:t>,</w:t>
      </w:r>
      <w:r w:rsidRPr="00495DD6">
        <w:rPr>
          <w:sz w:val="28"/>
          <w:szCs w:val="28"/>
        </w:rPr>
        <w:t xml:space="preserve"> Harold Tobin and Chesney Hill</w:t>
      </w:r>
      <w:r>
        <w:rPr>
          <w:sz w:val="28"/>
          <w:szCs w:val="28"/>
        </w:rPr>
        <w:t>.  “</w:t>
      </w:r>
      <w:r w:rsidRPr="00495DD6">
        <w:rPr>
          <w:sz w:val="28"/>
          <w:szCs w:val="28"/>
        </w:rPr>
        <w:t>ARTICLE 19 OF THE LEAGUE COVENANT AND THE DOCTRINE "REBUS SIC STANTIBUS</w:t>
      </w:r>
      <w:r>
        <w:rPr>
          <w:sz w:val="28"/>
          <w:szCs w:val="28"/>
        </w:rPr>
        <w:t>.</w:t>
      </w:r>
      <w:r w:rsidRPr="00495DD6">
        <w:rPr>
          <w:sz w:val="28"/>
          <w:szCs w:val="28"/>
        </w:rPr>
        <w:t>"</w:t>
      </w:r>
      <w:r>
        <w:rPr>
          <w:sz w:val="28"/>
          <w:szCs w:val="28"/>
        </w:rPr>
        <w:t xml:space="preserve"> </w:t>
      </w:r>
      <w:r w:rsidRPr="00495DD6">
        <w:rPr>
          <w:i/>
          <w:sz w:val="28"/>
          <w:szCs w:val="28"/>
        </w:rPr>
        <w:t>Proceedings of the American Society of International Law at Its Annual Meeting (1921-1969)</w:t>
      </w:r>
      <w:r w:rsidRPr="00495DD6">
        <w:rPr>
          <w:sz w:val="28"/>
          <w:szCs w:val="28"/>
        </w:rPr>
        <w:t xml:space="preserve"> 30 (APRIL 23-25, 1936)</w:t>
      </w:r>
      <w:r>
        <w:rPr>
          <w:sz w:val="28"/>
          <w:szCs w:val="28"/>
        </w:rPr>
        <w:t>:</w:t>
      </w:r>
      <w:r w:rsidRPr="00495DD6">
        <w:rPr>
          <w:sz w:val="28"/>
          <w:szCs w:val="28"/>
        </w:rPr>
        <w:t xml:space="preserve"> 55-86</w:t>
      </w:r>
      <w:r>
        <w:rPr>
          <w:sz w:val="28"/>
          <w:szCs w:val="28"/>
        </w:rPr>
        <w:t>.</w:t>
      </w:r>
    </w:p>
    <w:p w14:paraId="54A205FA" w14:textId="77777777" w:rsidR="00A97A17" w:rsidRDefault="00A97A17" w:rsidP="00A97A17">
      <w:pPr>
        <w:rPr>
          <w:sz w:val="28"/>
          <w:szCs w:val="28"/>
        </w:rPr>
      </w:pPr>
    </w:p>
    <w:p w14:paraId="66CC3703" w14:textId="77777777" w:rsidR="00A97A17" w:rsidRDefault="00A97A17" w:rsidP="00A97A17">
      <w:pPr>
        <w:rPr>
          <w:sz w:val="28"/>
          <w:szCs w:val="28"/>
        </w:rPr>
      </w:pPr>
    </w:p>
    <w:p w14:paraId="43675D35" w14:textId="77777777" w:rsidR="00A97A17" w:rsidRDefault="00A97A17" w:rsidP="00A97A17">
      <w:pPr>
        <w:rPr>
          <w:sz w:val="28"/>
          <w:szCs w:val="28"/>
        </w:rPr>
      </w:pPr>
    </w:p>
    <w:p w14:paraId="6F6FA267" w14:textId="77777777" w:rsidR="00A97A17" w:rsidRDefault="00A97A17" w:rsidP="00A97A17">
      <w:pPr>
        <w:pStyle w:val="EndnoteText"/>
      </w:pPr>
    </w:p>
    <w:p w14:paraId="28B635B1" w14:textId="77777777" w:rsidR="00A97A17" w:rsidRDefault="00A97A17" w:rsidP="00A97A17">
      <w:pPr>
        <w:pStyle w:val="EndnoteText"/>
      </w:pPr>
    </w:p>
    <w:p w14:paraId="71368CE8" w14:textId="77777777" w:rsidR="00A97A17" w:rsidRDefault="00A97A17" w:rsidP="00A97A17">
      <w:pPr>
        <w:pStyle w:val="EndnoteText"/>
      </w:pPr>
    </w:p>
    <w:p w14:paraId="54C896AB" w14:textId="77777777" w:rsidR="00A97A17" w:rsidRPr="0082188E" w:rsidRDefault="00A97A17" w:rsidP="00A97A17">
      <w:pPr>
        <w:pStyle w:val="EndnoteText"/>
        <w:rPr>
          <w:sz w:val="28"/>
          <w:szCs w:val="28"/>
        </w:rPr>
      </w:pPr>
    </w:p>
    <w:p w14:paraId="2E48F7A9" w14:textId="77777777" w:rsidR="00A97A17" w:rsidRPr="0082265F" w:rsidRDefault="00A97A17" w:rsidP="00A97A17">
      <w:pPr>
        <w:pStyle w:val="EndnoteText"/>
        <w:rPr>
          <w:i/>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79059738"/>
      <w:docPartObj>
        <w:docPartGallery w:val="Page Numbers (Bottom of Page)"/>
        <w:docPartUnique/>
      </w:docPartObj>
    </w:sdtPr>
    <w:sdtEndPr>
      <w:rPr>
        <w:rStyle w:val="PageNumber"/>
      </w:rPr>
    </w:sdtEndPr>
    <w:sdtContent>
      <w:p w14:paraId="4051EA8E" w14:textId="77777777" w:rsidR="009A1D0F" w:rsidRDefault="008579B2" w:rsidP="005A3B8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A03376" w14:textId="77777777" w:rsidR="009A1D0F" w:rsidRDefault="008579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4591564"/>
      <w:docPartObj>
        <w:docPartGallery w:val="Page Numbers (Bottom of Page)"/>
        <w:docPartUnique/>
      </w:docPartObj>
    </w:sdtPr>
    <w:sdtEndPr>
      <w:rPr>
        <w:rStyle w:val="PageNumber"/>
      </w:rPr>
    </w:sdtEndPr>
    <w:sdtContent>
      <w:p w14:paraId="34E75B0F" w14:textId="77777777" w:rsidR="009A1D0F" w:rsidRDefault="008579B2" w:rsidP="005A3B8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A9D201F" w14:textId="77777777" w:rsidR="009A1D0F" w:rsidRDefault="008579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C38846" w14:textId="77777777" w:rsidR="008579B2" w:rsidRDefault="008579B2" w:rsidP="00A97A17">
      <w:r>
        <w:separator/>
      </w:r>
    </w:p>
  </w:footnote>
  <w:footnote w:type="continuationSeparator" w:id="0">
    <w:p w14:paraId="51000A13" w14:textId="77777777" w:rsidR="008579B2" w:rsidRDefault="008579B2" w:rsidP="00A97A1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zaccai lewis">
    <w15:presenceInfo w15:providerId="Windows Live" w15:userId="216bf4754d9d1c4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A17"/>
    <w:rsid w:val="00202FA4"/>
    <w:rsid w:val="00365FDE"/>
    <w:rsid w:val="008579B2"/>
    <w:rsid w:val="008C37D5"/>
    <w:rsid w:val="00A97A17"/>
    <w:rsid w:val="00C85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CC9AAA"/>
  <w14:defaultImageDpi w14:val="32767"/>
  <w15:chartTrackingRefBased/>
  <w15:docId w15:val="{0C6CCBC2-73D1-2940-8E5F-C19B26045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97A17"/>
  </w:style>
  <w:style w:type="paragraph" w:styleId="Heading1">
    <w:name w:val="heading 1"/>
    <w:basedOn w:val="Normal"/>
    <w:next w:val="Normal"/>
    <w:link w:val="Heading1Char"/>
    <w:uiPriority w:val="9"/>
    <w:qFormat/>
    <w:rsid w:val="00A97A1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A97A17"/>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A97A17"/>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A97A17"/>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7A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A97A17"/>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A97A17"/>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A97A17"/>
    <w:rPr>
      <w:rFonts w:asciiTheme="majorHAnsi" w:eastAsiaTheme="majorEastAsia" w:hAnsiTheme="majorHAnsi" w:cstheme="majorBidi"/>
      <w:color w:val="2F5496" w:themeColor="accent1" w:themeShade="BF"/>
    </w:rPr>
  </w:style>
  <w:style w:type="paragraph" w:styleId="BodyText">
    <w:name w:val="Body Text"/>
    <w:basedOn w:val="Normal"/>
    <w:link w:val="BodyTextChar"/>
    <w:uiPriority w:val="99"/>
    <w:semiHidden/>
    <w:unhideWhenUsed/>
    <w:rsid w:val="00A97A17"/>
    <w:pPr>
      <w:spacing w:after="120"/>
    </w:pPr>
  </w:style>
  <w:style w:type="character" w:customStyle="1" w:styleId="BodyTextChar">
    <w:name w:val="Body Text Char"/>
    <w:basedOn w:val="DefaultParagraphFont"/>
    <w:link w:val="BodyText"/>
    <w:uiPriority w:val="99"/>
    <w:semiHidden/>
    <w:rsid w:val="00A97A17"/>
  </w:style>
  <w:style w:type="paragraph" w:styleId="EndnoteText">
    <w:name w:val="endnote text"/>
    <w:basedOn w:val="Normal"/>
    <w:link w:val="EndnoteTextChar"/>
    <w:uiPriority w:val="99"/>
    <w:semiHidden/>
    <w:unhideWhenUsed/>
    <w:rsid w:val="00A97A17"/>
    <w:rPr>
      <w:sz w:val="20"/>
      <w:szCs w:val="20"/>
    </w:rPr>
  </w:style>
  <w:style w:type="character" w:customStyle="1" w:styleId="EndnoteTextChar">
    <w:name w:val="Endnote Text Char"/>
    <w:basedOn w:val="DefaultParagraphFont"/>
    <w:link w:val="EndnoteText"/>
    <w:uiPriority w:val="99"/>
    <w:semiHidden/>
    <w:rsid w:val="00A97A17"/>
    <w:rPr>
      <w:sz w:val="20"/>
      <w:szCs w:val="20"/>
    </w:rPr>
  </w:style>
  <w:style w:type="character" w:styleId="EndnoteReference">
    <w:name w:val="endnote reference"/>
    <w:basedOn w:val="DefaultParagraphFont"/>
    <w:uiPriority w:val="99"/>
    <w:semiHidden/>
    <w:unhideWhenUsed/>
    <w:rsid w:val="00A97A17"/>
    <w:rPr>
      <w:vertAlign w:val="superscript"/>
    </w:rPr>
  </w:style>
  <w:style w:type="character" w:styleId="CommentReference">
    <w:name w:val="annotation reference"/>
    <w:basedOn w:val="DefaultParagraphFont"/>
    <w:uiPriority w:val="99"/>
    <w:semiHidden/>
    <w:unhideWhenUsed/>
    <w:rsid w:val="00A97A17"/>
    <w:rPr>
      <w:sz w:val="16"/>
      <w:szCs w:val="16"/>
    </w:rPr>
  </w:style>
  <w:style w:type="paragraph" w:styleId="CommentText">
    <w:name w:val="annotation text"/>
    <w:basedOn w:val="Normal"/>
    <w:link w:val="CommentTextChar"/>
    <w:uiPriority w:val="99"/>
    <w:semiHidden/>
    <w:unhideWhenUsed/>
    <w:rsid w:val="00A97A17"/>
    <w:pPr>
      <w:widowControl w:val="0"/>
      <w:autoSpaceDE w:val="0"/>
      <w:autoSpaceDN w:val="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A97A17"/>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A97A1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97A17"/>
    <w:rPr>
      <w:rFonts w:ascii="Times New Roman" w:hAnsi="Times New Roman" w:cs="Times New Roman"/>
      <w:sz w:val="18"/>
      <w:szCs w:val="18"/>
    </w:rPr>
  </w:style>
  <w:style w:type="paragraph" w:styleId="Header">
    <w:name w:val="header"/>
    <w:basedOn w:val="Normal"/>
    <w:link w:val="HeaderChar"/>
    <w:uiPriority w:val="99"/>
    <w:unhideWhenUsed/>
    <w:rsid w:val="00A97A17"/>
    <w:pPr>
      <w:tabs>
        <w:tab w:val="center" w:pos="4680"/>
        <w:tab w:val="right" w:pos="9360"/>
      </w:tabs>
    </w:pPr>
  </w:style>
  <w:style w:type="character" w:customStyle="1" w:styleId="HeaderChar">
    <w:name w:val="Header Char"/>
    <w:basedOn w:val="DefaultParagraphFont"/>
    <w:link w:val="Header"/>
    <w:uiPriority w:val="99"/>
    <w:rsid w:val="00A97A17"/>
  </w:style>
  <w:style w:type="paragraph" w:styleId="Footer">
    <w:name w:val="footer"/>
    <w:basedOn w:val="Normal"/>
    <w:link w:val="FooterChar"/>
    <w:uiPriority w:val="99"/>
    <w:unhideWhenUsed/>
    <w:rsid w:val="00A97A17"/>
    <w:pPr>
      <w:tabs>
        <w:tab w:val="center" w:pos="4680"/>
        <w:tab w:val="right" w:pos="9360"/>
      </w:tabs>
    </w:pPr>
  </w:style>
  <w:style w:type="character" w:customStyle="1" w:styleId="FooterChar">
    <w:name w:val="Footer Char"/>
    <w:basedOn w:val="DefaultParagraphFont"/>
    <w:link w:val="Footer"/>
    <w:uiPriority w:val="99"/>
    <w:rsid w:val="00A97A17"/>
  </w:style>
  <w:style w:type="character" w:styleId="PageNumber">
    <w:name w:val="page number"/>
    <w:basedOn w:val="DefaultParagraphFont"/>
    <w:uiPriority w:val="99"/>
    <w:semiHidden/>
    <w:unhideWhenUsed/>
    <w:rsid w:val="00A97A17"/>
  </w:style>
  <w:style w:type="paragraph" w:styleId="CommentSubject">
    <w:name w:val="annotation subject"/>
    <w:basedOn w:val="CommentText"/>
    <w:next w:val="CommentText"/>
    <w:link w:val="CommentSubjectChar"/>
    <w:uiPriority w:val="99"/>
    <w:semiHidden/>
    <w:unhideWhenUsed/>
    <w:rsid w:val="00A97A17"/>
    <w:pPr>
      <w:widowControl/>
      <w:autoSpaceDE/>
      <w:autoSpaceDN/>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A97A17"/>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0A97A17"/>
    <w:rPr>
      <w:color w:val="0563C1" w:themeColor="hyperlink"/>
      <w:u w:val="single"/>
    </w:rPr>
  </w:style>
  <w:style w:type="character" w:styleId="UnresolvedMention">
    <w:name w:val="Unresolved Mention"/>
    <w:basedOn w:val="DefaultParagraphFont"/>
    <w:uiPriority w:val="99"/>
    <w:rsid w:val="00A97A17"/>
    <w:rPr>
      <w:color w:val="605E5C"/>
      <w:shd w:val="clear" w:color="auto" w:fill="E1DFDD"/>
    </w:rPr>
  </w:style>
  <w:style w:type="paragraph" w:styleId="Bibliography">
    <w:name w:val="Bibliography"/>
    <w:basedOn w:val="Normal"/>
    <w:next w:val="Normal"/>
    <w:uiPriority w:val="37"/>
    <w:unhideWhenUsed/>
    <w:rsid w:val="00A97A17"/>
  </w:style>
  <w:style w:type="paragraph" w:styleId="FootnoteText">
    <w:name w:val="footnote text"/>
    <w:basedOn w:val="Normal"/>
    <w:link w:val="FootnoteTextChar"/>
    <w:uiPriority w:val="99"/>
    <w:semiHidden/>
    <w:unhideWhenUsed/>
    <w:rsid w:val="00A97A17"/>
    <w:rPr>
      <w:sz w:val="20"/>
      <w:szCs w:val="20"/>
    </w:rPr>
  </w:style>
  <w:style w:type="character" w:customStyle="1" w:styleId="FootnoteTextChar">
    <w:name w:val="Footnote Text Char"/>
    <w:basedOn w:val="DefaultParagraphFont"/>
    <w:link w:val="FootnoteText"/>
    <w:uiPriority w:val="99"/>
    <w:semiHidden/>
    <w:rsid w:val="00A97A17"/>
    <w:rPr>
      <w:sz w:val="20"/>
      <w:szCs w:val="20"/>
    </w:rPr>
  </w:style>
  <w:style w:type="character" w:styleId="FootnoteReference">
    <w:name w:val="footnote reference"/>
    <w:basedOn w:val="DefaultParagraphFont"/>
    <w:uiPriority w:val="99"/>
    <w:semiHidden/>
    <w:unhideWhenUsed/>
    <w:rsid w:val="00A97A17"/>
    <w:rPr>
      <w:vertAlign w:val="superscript"/>
    </w:rPr>
  </w:style>
  <w:style w:type="character" w:styleId="FollowedHyperlink">
    <w:name w:val="FollowedHyperlink"/>
    <w:basedOn w:val="DefaultParagraphFont"/>
    <w:uiPriority w:val="99"/>
    <w:semiHidden/>
    <w:unhideWhenUsed/>
    <w:rsid w:val="00A97A17"/>
    <w:rPr>
      <w:color w:val="954F72" w:themeColor="followedHyperlink"/>
      <w:u w:val="single"/>
    </w:rPr>
  </w:style>
  <w:style w:type="paragraph" w:styleId="Revision">
    <w:name w:val="Revision"/>
    <w:hidden/>
    <w:uiPriority w:val="99"/>
    <w:semiHidden/>
    <w:rsid w:val="00A97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endnotes.xml.rels><?xml version="1.0" encoding="UTF-8" standalone="yes"?>
<Relationships xmlns="http://schemas.openxmlformats.org/package/2006/relationships"><Relationship Id="rId8" Type="http://schemas.openxmlformats.org/officeDocument/2006/relationships/hyperlink" Target="https://digitallibrary.un.org/record/1626151/files/T_2S_SR-19-35-EN.pdf" TargetMode="External"/><Relationship Id="rId3" Type="http://schemas.openxmlformats.org/officeDocument/2006/relationships/hyperlink" Target="https://digitallibrary.un.org/record/1324825?ln=en" TargetMode="External"/><Relationship Id="rId7" Type="http://schemas.openxmlformats.org/officeDocument/2006/relationships/hyperlink" Target="https://digitallibrary.un.org/record/1626211/files/T_2S_SR-1-18-EN.pdf" TargetMode="External"/><Relationship Id="rId2" Type="http://schemas.openxmlformats.org/officeDocument/2006/relationships/hyperlink" Target="https://www.un.org/unispal/ga-res-on-qop/" TargetMode="External"/><Relationship Id="rId1" Type="http://schemas.openxmlformats.org/officeDocument/2006/relationships/hyperlink" Target="https://unispal.un.org/DPA/DPR/unispal.nsf/0/7F0AF2BD897689B785256C330061D253" TargetMode="External"/><Relationship Id="rId6" Type="http://schemas.openxmlformats.org/officeDocument/2006/relationships/hyperlink" Target="https://unispal.un.org/DPA/DPR/unispal.nsf/0/CFB4E24B399E8EFD8525644A007972E1" TargetMode="External"/><Relationship Id="rId5" Type="http://schemas.openxmlformats.org/officeDocument/2006/relationships/hyperlink" Target="https://www.un.org/unispal/wp-content/uploads/2016/07/The-Status-of-Jerusalem-Engish-199708.pdf" TargetMode="External"/><Relationship Id="rId4" Type="http://schemas.openxmlformats.org/officeDocument/2006/relationships/hyperlink" Target="https://digitallibrary.un.org/record/652850?ln=en" TargetMode="External"/><Relationship Id="rId9" Type="http://schemas.openxmlformats.org/officeDocument/2006/relationships/hyperlink" Target="https://unispal.un.org/DPA/DPR/unispal.nsf/0/7F0AF2BD897689B785256C330061D25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57</Pages>
  <Words>13075</Words>
  <Characters>74533</Characters>
  <Application>Microsoft Office Word</Application>
  <DocSecurity>0</DocSecurity>
  <Lines>621</Lines>
  <Paragraphs>174</Paragraphs>
  <ScaleCrop>false</ScaleCrop>
  <Company/>
  <LinksUpToDate>false</LinksUpToDate>
  <CharactersWithSpaces>87434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1</cp:revision>
  <dcterms:created xsi:type="dcterms:W3CDTF">2021-02-06T03:34:00Z</dcterms:created>
  <dcterms:modified xsi:type="dcterms:W3CDTF">2021-02-06T03:36:00Z</dcterms:modified>
</cp:coreProperties>
</file>